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92533F" w14:textId="392CA3FB" w:rsidR="00B55D26" w:rsidRPr="00A55E07" w:rsidRDefault="00B55D26" w:rsidP="00CE6384">
      <w:pPr>
        <w:pStyle w:val="MessageHeader"/>
        <w:tabs>
          <w:tab w:val="left" w:pos="1260"/>
        </w:tabs>
        <w:spacing w:after="80"/>
        <w:ind w:left="0" w:firstLine="0"/>
        <w:rPr>
          <w:rFonts w:ascii="Times New Roman" w:hAnsi="Times New Roman"/>
          <w:sz w:val="24"/>
          <w:szCs w:val="22"/>
        </w:rPr>
      </w:pPr>
      <w:r w:rsidRPr="00A55E07">
        <w:rPr>
          <w:rStyle w:val="MessageHeaderLabel"/>
          <w:rFonts w:ascii="Times New Roman" w:hAnsi="Times New Roman"/>
          <w:sz w:val="24"/>
          <w:szCs w:val="22"/>
        </w:rPr>
        <w:t>to:</w:t>
      </w:r>
      <w:r w:rsidR="00A703C6" w:rsidRPr="00A55E07">
        <w:rPr>
          <w:rFonts w:ascii="Times New Roman" w:hAnsi="Times New Roman"/>
          <w:sz w:val="24"/>
          <w:szCs w:val="22"/>
        </w:rPr>
        <w:tab/>
      </w:r>
      <w:r w:rsidR="00A452B2" w:rsidRPr="00A55E07">
        <w:rPr>
          <w:rFonts w:ascii="Times New Roman" w:hAnsi="Times New Roman"/>
          <w:sz w:val="24"/>
          <w:szCs w:val="22"/>
        </w:rPr>
        <w:t xml:space="preserve"> </w:t>
      </w:r>
      <w:r w:rsidR="00192A2C">
        <w:rPr>
          <w:rFonts w:ascii="Times New Roman" w:hAnsi="Times New Roman"/>
          <w:sz w:val="24"/>
          <w:szCs w:val="22"/>
        </w:rPr>
        <w:tab/>
      </w:r>
      <w:r w:rsidR="002C5BC3">
        <w:rPr>
          <w:rFonts w:ascii="Times New Roman" w:hAnsi="Times New Roman"/>
          <w:sz w:val="24"/>
          <w:szCs w:val="22"/>
        </w:rPr>
        <w:t xml:space="preserve">PRRIP </w:t>
      </w:r>
      <w:r w:rsidR="004E0658">
        <w:rPr>
          <w:rFonts w:ascii="Times New Roman" w:hAnsi="Times New Roman"/>
          <w:sz w:val="24"/>
          <w:szCs w:val="22"/>
        </w:rPr>
        <w:t>water advisory committee</w:t>
      </w:r>
    </w:p>
    <w:p w14:paraId="6D90668F" w14:textId="3C2C245A" w:rsidR="00B55D26" w:rsidRPr="00A55E07" w:rsidRDefault="00B55D26" w:rsidP="00CE6384">
      <w:pPr>
        <w:pStyle w:val="MessageHeader"/>
        <w:tabs>
          <w:tab w:val="left" w:pos="1260"/>
        </w:tabs>
        <w:spacing w:after="80"/>
        <w:ind w:left="0" w:firstLine="0"/>
        <w:rPr>
          <w:rFonts w:ascii="Times New Roman" w:hAnsi="Times New Roman"/>
          <w:sz w:val="24"/>
          <w:szCs w:val="22"/>
        </w:rPr>
      </w:pPr>
      <w:r w:rsidRPr="00A55E07">
        <w:rPr>
          <w:rStyle w:val="MessageHeaderLabel"/>
          <w:rFonts w:ascii="Times New Roman" w:hAnsi="Times New Roman"/>
          <w:sz w:val="24"/>
          <w:szCs w:val="22"/>
        </w:rPr>
        <w:t>from:</w:t>
      </w:r>
      <w:r w:rsidR="00A703C6" w:rsidRPr="00A55E07">
        <w:rPr>
          <w:rStyle w:val="MessageHeaderLabel"/>
          <w:rFonts w:ascii="Times New Roman" w:hAnsi="Times New Roman"/>
          <w:sz w:val="24"/>
          <w:szCs w:val="22"/>
        </w:rPr>
        <w:tab/>
      </w:r>
      <w:r w:rsidR="00F43DB3" w:rsidRPr="00A55E07">
        <w:rPr>
          <w:rStyle w:val="MessageHeaderLabel"/>
          <w:rFonts w:ascii="Times New Roman" w:hAnsi="Times New Roman"/>
          <w:b w:val="0"/>
          <w:sz w:val="24"/>
          <w:szCs w:val="22"/>
        </w:rPr>
        <w:t xml:space="preserve"> </w:t>
      </w:r>
      <w:r w:rsidR="00192A2C">
        <w:rPr>
          <w:rStyle w:val="MessageHeaderLabel"/>
          <w:rFonts w:ascii="Times New Roman" w:hAnsi="Times New Roman"/>
          <w:b w:val="0"/>
          <w:sz w:val="24"/>
          <w:szCs w:val="22"/>
        </w:rPr>
        <w:tab/>
      </w:r>
      <w:r w:rsidR="002C5BC3">
        <w:rPr>
          <w:rStyle w:val="MessageHeaderLabel"/>
          <w:rFonts w:ascii="Times New Roman" w:hAnsi="Times New Roman"/>
          <w:b w:val="0"/>
          <w:sz w:val="24"/>
          <w:szCs w:val="22"/>
        </w:rPr>
        <w:t xml:space="preserve">PRRIp </w:t>
      </w:r>
      <w:r w:rsidR="004E0658">
        <w:rPr>
          <w:rStyle w:val="MessageHeaderLabel"/>
          <w:rFonts w:ascii="Times New Roman" w:hAnsi="Times New Roman"/>
          <w:b w:val="0"/>
          <w:sz w:val="24"/>
          <w:szCs w:val="22"/>
        </w:rPr>
        <w:t>executive director’s office</w:t>
      </w:r>
    </w:p>
    <w:p w14:paraId="57BB7183" w14:textId="2295964C" w:rsidR="00B55D26" w:rsidRPr="00A55E07" w:rsidRDefault="00B55D26" w:rsidP="00192A2C">
      <w:pPr>
        <w:pStyle w:val="MessageHeader"/>
        <w:tabs>
          <w:tab w:val="left" w:pos="0"/>
          <w:tab w:val="left" w:pos="1170"/>
        </w:tabs>
        <w:spacing w:after="80"/>
        <w:ind w:left="1260" w:hanging="1260"/>
        <w:rPr>
          <w:rFonts w:ascii="Times New Roman" w:hAnsi="Times New Roman"/>
          <w:sz w:val="24"/>
          <w:szCs w:val="22"/>
        </w:rPr>
      </w:pPr>
      <w:r w:rsidRPr="00A55E07">
        <w:rPr>
          <w:rStyle w:val="MessageHeaderLabel"/>
          <w:rFonts w:ascii="Times New Roman" w:hAnsi="Times New Roman"/>
          <w:sz w:val="24"/>
          <w:szCs w:val="22"/>
        </w:rPr>
        <w:t>subject:</w:t>
      </w:r>
      <w:r w:rsidR="00A703C6" w:rsidRPr="00A55E07">
        <w:rPr>
          <w:rFonts w:ascii="Times New Roman" w:hAnsi="Times New Roman"/>
          <w:sz w:val="24"/>
          <w:szCs w:val="22"/>
        </w:rPr>
        <w:t xml:space="preserve"> </w:t>
      </w:r>
      <w:r w:rsidR="00A703C6" w:rsidRPr="00A55E07">
        <w:rPr>
          <w:rFonts w:ascii="Times New Roman" w:hAnsi="Times New Roman"/>
          <w:sz w:val="24"/>
          <w:szCs w:val="22"/>
        </w:rPr>
        <w:tab/>
      </w:r>
      <w:r w:rsidR="00192A2C">
        <w:rPr>
          <w:rFonts w:ascii="Times New Roman" w:hAnsi="Times New Roman"/>
          <w:sz w:val="24"/>
          <w:szCs w:val="22"/>
        </w:rPr>
        <w:tab/>
      </w:r>
      <w:r w:rsidR="004E0658">
        <w:rPr>
          <w:rFonts w:ascii="Times New Roman" w:hAnsi="Times New Roman"/>
          <w:sz w:val="24"/>
          <w:szCs w:val="22"/>
        </w:rPr>
        <w:t>PRRIP Water projects accounting</w:t>
      </w:r>
      <w:r w:rsidR="00C34C58">
        <w:rPr>
          <w:rFonts w:ascii="Times New Roman" w:hAnsi="Times New Roman"/>
          <w:sz w:val="24"/>
          <w:szCs w:val="22"/>
        </w:rPr>
        <w:t xml:space="preserve"> UPDATE</w:t>
      </w:r>
    </w:p>
    <w:p w14:paraId="4CFE8847" w14:textId="2493DED0" w:rsidR="001F180F" w:rsidRPr="00CF7BA6" w:rsidRDefault="00B55D26" w:rsidP="00CE6384">
      <w:pPr>
        <w:pStyle w:val="MessageHeader"/>
        <w:tabs>
          <w:tab w:val="left" w:pos="1260"/>
        </w:tabs>
        <w:spacing w:after="80"/>
        <w:ind w:left="0" w:firstLine="0"/>
        <w:rPr>
          <w:rFonts w:ascii="Times New Roman" w:hAnsi="Times New Roman"/>
          <w:sz w:val="24"/>
          <w:szCs w:val="24"/>
        </w:rPr>
      </w:pPr>
      <w:r w:rsidRPr="00CF7BA6">
        <w:rPr>
          <w:rStyle w:val="MessageHeaderLabel"/>
          <w:rFonts w:ascii="Times New Roman" w:hAnsi="Times New Roman"/>
          <w:sz w:val="24"/>
          <w:szCs w:val="24"/>
        </w:rPr>
        <w:t>date:</w:t>
      </w:r>
      <w:r w:rsidRPr="00CF7BA6">
        <w:rPr>
          <w:rFonts w:ascii="Times New Roman" w:hAnsi="Times New Roman"/>
          <w:sz w:val="24"/>
          <w:szCs w:val="24"/>
        </w:rPr>
        <w:tab/>
      </w:r>
      <w:r w:rsidR="00192A2C" w:rsidRPr="00CF7BA6">
        <w:rPr>
          <w:rFonts w:ascii="Times New Roman" w:hAnsi="Times New Roman"/>
          <w:sz w:val="24"/>
          <w:szCs w:val="24"/>
        </w:rPr>
        <w:tab/>
      </w:r>
      <w:r w:rsidR="00D264FA">
        <w:rPr>
          <w:rFonts w:ascii="Times New Roman" w:hAnsi="Times New Roman"/>
          <w:sz w:val="24"/>
          <w:szCs w:val="24"/>
        </w:rPr>
        <w:t xml:space="preserve">october </w:t>
      </w:r>
      <w:r w:rsidR="00F27CA0">
        <w:rPr>
          <w:rFonts w:ascii="Times New Roman" w:hAnsi="Times New Roman"/>
          <w:sz w:val="24"/>
          <w:szCs w:val="24"/>
        </w:rPr>
        <w:t>22</w:t>
      </w:r>
      <w:r w:rsidR="00C34C58">
        <w:rPr>
          <w:rFonts w:ascii="Times New Roman" w:hAnsi="Times New Roman"/>
          <w:sz w:val="24"/>
          <w:szCs w:val="24"/>
        </w:rPr>
        <w:t>, 2021</w:t>
      </w:r>
    </w:p>
    <w:p w14:paraId="5BBEF5E4" w14:textId="6D5566E5" w:rsidR="006342A3" w:rsidRPr="00350647" w:rsidRDefault="00305F91" w:rsidP="00350647">
      <w:pPr>
        <w:pStyle w:val="BodyText"/>
        <w:rPr>
          <w:rFonts w:ascii="Arial" w:hAnsi="Arial" w:cs="Arial"/>
          <w:b/>
          <w:bCs/>
          <w:sz w:val="22"/>
          <w:szCs w:val="22"/>
        </w:rPr>
      </w:pPr>
      <w:r>
        <w:rPr>
          <w:rFonts w:ascii="Arial" w:hAnsi="Arial" w:cs="Arial"/>
          <w:b/>
          <w:bCs/>
          <w:noProof/>
          <w:sz w:val="22"/>
          <w:szCs w:val="22"/>
        </w:rPr>
        <mc:AlternateContent>
          <mc:Choice Requires="wps">
            <w:drawing>
              <wp:anchor distT="0" distB="0" distL="114300" distR="114300" simplePos="0" relativeHeight="251657728" behindDoc="0" locked="0" layoutInCell="1" allowOverlap="1" wp14:anchorId="6C3A1CCC" wp14:editId="68645D1F">
                <wp:simplePos x="0" y="0"/>
                <wp:positionH relativeFrom="column">
                  <wp:posOffset>9525</wp:posOffset>
                </wp:positionH>
                <wp:positionV relativeFrom="paragraph">
                  <wp:posOffset>146050</wp:posOffset>
                </wp:positionV>
                <wp:extent cx="5943600" cy="0"/>
                <wp:effectExtent l="9525" t="9525" r="9525" b="9525"/>
                <wp:wrapNone/>
                <wp:docPr id="4"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CBDD416" id="_x0000_t32" coordsize="21600,21600" o:spt="32" o:oned="t" path="m,l21600,21600e" filled="f">
                <v:path arrowok="t" fillok="f" o:connecttype="none"/>
                <o:lock v:ext="edit" shapetype="t"/>
              </v:shapetype>
              <v:shape id="AutoShape 2" o:spid="_x0000_s1026" type="#_x0000_t32" style="position:absolute;margin-left:.75pt;margin-top:11.5pt;width:468pt;height:0;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"/>
            </w:pict>
          </mc:Fallback>
        </mc:AlternateContent>
      </w:r>
    </w:p>
    <w:p w14:paraId="47EC0D76" w14:textId="77777777" w:rsidR="006342A3" w:rsidRPr="00A55E07" w:rsidRDefault="006342A3" w:rsidP="002D03E0">
      <w:pPr>
        <w:pStyle w:val="ListParagraph"/>
        <w:ind w:left="0"/>
        <w:rPr>
          <w:b/>
        </w:rPr>
      </w:pPr>
    </w:p>
    <w:p w14:paraId="45CD3558" w14:textId="4EA7B398" w:rsidR="00291C36" w:rsidRDefault="004E0658" w:rsidP="00405997">
      <w:pPr>
        <w:pStyle w:val="ListParagraph"/>
        <w:numPr>
          <w:ilvl w:val="0"/>
          <w:numId w:val="1"/>
        </w:numPr>
        <w:spacing w:after="240"/>
        <w:rPr>
          <w:b/>
        </w:rPr>
      </w:pPr>
      <w:r>
        <w:rPr>
          <w:b/>
        </w:rPr>
        <w:t>INTRODUCTION</w:t>
      </w:r>
    </w:p>
    <w:p w14:paraId="2CD2A24F" w14:textId="2E8598CC" w:rsidR="00841F38" w:rsidRDefault="00F16B64" w:rsidP="007503A9">
      <w:r>
        <w:t>This</w:t>
      </w:r>
      <w:r w:rsidR="00841F38">
        <w:t xml:space="preserve"> memorandum </w:t>
      </w:r>
      <w:r w:rsidR="00BB7399">
        <w:t xml:space="preserve">was </w:t>
      </w:r>
      <w:r>
        <w:t>prepared by the Executive Director’s Office (EDO)</w:t>
      </w:r>
      <w:r w:rsidR="00F238DE">
        <w:t xml:space="preserve"> of the Platte River Recovery Implementation Program (PRRIP or Program)</w:t>
      </w:r>
      <w:r>
        <w:t xml:space="preserve"> to </w:t>
      </w:r>
      <w:r w:rsidR="00841F38">
        <w:t>document</w:t>
      </w:r>
      <w:r>
        <w:t xml:space="preserve"> the operations of </w:t>
      </w:r>
      <w:r w:rsidR="00841F38">
        <w:t>the Program’s water projects</w:t>
      </w:r>
      <w:r w:rsidR="004F4343">
        <w:rPr>
          <w:rStyle w:val="FootnoteReference"/>
          <w:szCs w:val="24"/>
        </w:rPr>
        <w:footnoteReference w:id="1"/>
      </w:r>
      <w:r w:rsidR="00841F38">
        <w:t xml:space="preserve"> through the end of calendar year 2020</w:t>
      </w:r>
      <w:r>
        <w:t>.</w:t>
      </w:r>
      <w:r w:rsidR="00841F38">
        <w:t xml:space="preserve">  It is an update to the original accounting analysis</w:t>
      </w:r>
      <w:r w:rsidR="00841F38">
        <w:rPr>
          <w:rStyle w:val="FootnoteReference"/>
          <w:szCs w:val="24"/>
        </w:rPr>
        <w:footnoteReference w:id="2"/>
      </w:r>
      <w:r w:rsidR="00841F38">
        <w:t xml:space="preserve"> that covered the years from the start of the Program in 2007 through 2018.  </w:t>
      </w:r>
    </w:p>
    <w:p w14:paraId="56438B39" w14:textId="77777777" w:rsidR="007503A9" w:rsidRDefault="007503A9" w:rsidP="007503A9"/>
    <w:p w14:paraId="5C191E90" w14:textId="74B99998" w:rsidR="00841F38" w:rsidRDefault="00841F38" w:rsidP="007503A9">
      <w:r w:rsidRPr="001D46DC">
        <w:rPr>
          <w:b/>
        </w:rPr>
        <w:t>Table 1</w:t>
      </w:r>
      <w:r>
        <w:t xml:space="preserve"> identifies current Program water projects and the initial year of operation.  </w:t>
      </w:r>
      <w:r w:rsidR="00504546">
        <w:t>A few projects pre-date th</w:t>
      </w:r>
      <w:r>
        <w:t>e start of the</w:t>
      </w:r>
      <w:r w:rsidR="00504546">
        <w:t xml:space="preserve"> Program’s</w:t>
      </w:r>
      <w:r>
        <w:t xml:space="preserve"> First Increment, </w:t>
      </w:r>
      <w:r w:rsidR="00504546">
        <w:t xml:space="preserve">in which case </w:t>
      </w:r>
      <w:r>
        <w:t>2007 is recognized as the first year of operation.  Many of these projects are operated on behalf of the Program by stakeholder organizations, including the Central Nebraska Public Power and Irrigation District (CNPPID), the Nebraska Public Power District (NPPD), and the Central Platte Natural Resources District (CPNRD).</w:t>
      </w:r>
    </w:p>
    <w:p w14:paraId="0F4645DF" w14:textId="77777777" w:rsidR="007503A9" w:rsidRDefault="007503A9" w:rsidP="007503A9"/>
    <w:p w14:paraId="4AB65E7E" w14:textId="77777777" w:rsidR="00841F38" w:rsidRPr="0069660B" w:rsidRDefault="00841F38" w:rsidP="007503A9">
      <w:pPr>
        <w:rPr>
          <w:b/>
          <w:sz w:val="22"/>
        </w:rPr>
      </w:pPr>
      <w:r w:rsidRPr="0069660B">
        <w:rPr>
          <w:b/>
          <w:sz w:val="22"/>
        </w:rPr>
        <w:t xml:space="preserve">Table 1. Program Water Projects Operational in </w:t>
      </w:r>
      <w:r>
        <w:rPr>
          <w:b/>
          <w:sz w:val="22"/>
        </w:rPr>
        <w:t>2020</w:t>
      </w:r>
      <w:r w:rsidRPr="0069660B">
        <w:rPr>
          <w:b/>
          <w:sz w:val="22"/>
        </w:rPr>
        <w:t>.</w:t>
      </w:r>
    </w:p>
    <w:tbl>
      <w:tblPr>
        <w:tblStyle w:val="TableGrid"/>
        <w:tblW w:w="9445" w:type="dxa"/>
        <w:tblLook w:val="04A0" w:firstRow="1" w:lastRow="0" w:firstColumn="1" w:lastColumn="0" w:noHBand="0" w:noVBand="1"/>
      </w:tblPr>
      <w:tblGrid>
        <w:gridCol w:w="6723"/>
        <w:gridCol w:w="2722"/>
      </w:tblGrid>
      <w:tr w:rsidR="003142D6" w:rsidRPr="0069660B" w14:paraId="4E1ECC75" w14:textId="77777777" w:rsidTr="003142D6">
        <w:trPr>
          <w:trHeight w:val="288"/>
        </w:trPr>
        <w:tc>
          <w:tcPr>
            <w:tcW w:w="6723" w:type="dxa"/>
            <w:shd w:val="clear" w:color="auto" w:fill="C2D69B" w:themeFill="accent3" w:themeFillTint="99"/>
            <w:vAlign w:val="bottom"/>
          </w:tcPr>
          <w:p w14:paraId="5153DBFE" w14:textId="77777777" w:rsidR="003142D6" w:rsidRPr="0069660B" w:rsidRDefault="003142D6" w:rsidP="00016204">
            <w:pPr>
              <w:pStyle w:val="ListParagraph"/>
              <w:ind w:left="0"/>
              <w:jc w:val="center"/>
              <w:rPr>
                <w:b/>
                <w:sz w:val="22"/>
              </w:rPr>
            </w:pPr>
            <w:r w:rsidRPr="0069660B">
              <w:rPr>
                <w:b/>
                <w:sz w:val="22"/>
              </w:rPr>
              <w:t>Project</w:t>
            </w:r>
          </w:p>
        </w:tc>
        <w:tc>
          <w:tcPr>
            <w:tcW w:w="2722" w:type="dxa"/>
            <w:shd w:val="clear" w:color="auto" w:fill="C2D69B" w:themeFill="accent3" w:themeFillTint="99"/>
            <w:vAlign w:val="bottom"/>
          </w:tcPr>
          <w:p w14:paraId="192B7F69" w14:textId="77777777" w:rsidR="003142D6" w:rsidRPr="0069660B" w:rsidRDefault="003142D6" w:rsidP="00016204">
            <w:pPr>
              <w:pStyle w:val="ListParagraph"/>
              <w:ind w:left="0"/>
              <w:jc w:val="center"/>
              <w:rPr>
                <w:b/>
                <w:sz w:val="22"/>
              </w:rPr>
            </w:pPr>
            <w:r w:rsidRPr="0069660B">
              <w:rPr>
                <w:b/>
                <w:sz w:val="22"/>
              </w:rPr>
              <w:t>First Year of Operation</w:t>
            </w:r>
          </w:p>
        </w:tc>
      </w:tr>
      <w:tr w:rsidR="003142D6" w:rsidRPr="0069660B" w14:paraId="4173855F" w14:textId="77777777" w:rsidTr="00CB2A53">
        <w:trPr>
          <w:trHeight w:val="288"/>
        </w:trPr>
        <w:tc>
          <w:tcPr>
            <w:tcW w:w="9445" w:type="dxa"/>
            <w:gridSpan w:val="2"/>
            <w:shd w:val="clear" w:color="auto" w:fill="BFBFBF" w:themeFill="background1" w:themeFillShade="BF"/>
          </w:tcPr>
          <w:p w14:paraId="2513CD00" w14:textId="5D655F54" w:rsidR="003142D6" w:rsidRPr="0069660B" w:rsidRDefault="003142D6" w:rsidP="00016204">
            <w:pPr>
              <w:pStyle w:val="ListParagraph"/>
              <w:ind w:left="0"/>
              <w:rPr>
                <w:sz w:val="22"/>
              </w:rPr>
            </w:pPr>
            <w:r w:rsidRPr="0069660B">
              <w:rPr>
                <w:sz w:val="22"/>
              </w:rPr>
              <w:t>State Water Projects</w:t>
            </w:r>
          </w:p>
        </w:tc>
      </w:tr>
      <w:tr w:rsidR="003142D6" w:rsidRPr="0069660B" w14:paraId="0D22CEAF" w14:textId="77777777" w:rsidTr="003142D6">
        <w:trPr>
          <w:trHeight w:val="288"/>
        </w:trPr>
        <w:tc>
          <w:tcPr>
            <w:tcW w:w="6723" w:type="dxa"/>
          </w:tcPr>
          <w:p w14:paraId="07D054FF" w14:textId="7DF5877C" w:rsidR="003142D6" w:rsidRPr="0069660B" w:rsidRDefault="003142D6" w:rsidP="00016204">
            <w:pPr>
              <w:pStyle w:val="ListParagraph"/>
              <w:ind w:left="0"/>
              <w:rPr>
                <w:sz w:val="22"/>
              </w:rPr>
            </w:pPr>
            <w:r w:rsidRPr="0069660B">
              <w:rPr>
                <w:sz w:val="22"/>
              </w:rPr>
              <w:t>Tamarack I</w:t>
            </w:r>
            <w:r>
              <w:rPr>
                <w:sz w:val="22"/>
              </w:rPr>
              <w:t xml:space="preserve"> (Colorado)</w:t>
            </w:r>
          </w:p>
        </w:tc>
        <w:tc>
          <w:tcPr>
            <w:tcW w:w="2722" w:type="dxa"/>
          </w:tcPr>
          <w:p w14:paraId="5E59790D" w14:textId="77777777" w:rsidR="003142D6" w:rsidRPr="0069660B" w:rsidRDefault="003142D6" w:rsidP="00016204">
            <w:pPr>
              <w:pStyle w:val="ListParagraph"/>
              <w:ind w:left="0"/>
              <w:jc w:val="center"/>
              <w:rPr>
                <w:sz w:val="22"/>
              </w:rPr>
            </w:pPr>
            <w:r w:rsidRPr="0069660B">
              <w:rPr>
                <w:sz w:val="22"/>
              </w:rPr>
              <w:t>2007</w:t>
            </w:r>
          </w:p>
        </w:tc>
      </w:tr>
      <w:tr w:rsidR="003142D6" w:rsidRPr="0069660B" w14:paraId="0EECEFA2" w14:textId="77777777" w:rsidTr="003142D6">
        <w:trPr>
          <w:trHeight w:val="288"/>
        </w:trPr>
        <w:tc>
          <w:tcPr>
            <w:tcW w:w="6723" w:type="dxa"/>
          </w:tcPr>
          <w:p w14:paraId="0B5FC7C6" w14:textId="687C57A4" w:rsidR="003142D6" w:rsidRPr="0069660B" w:rsidRDefault="003142D6" w:rsidP="00016204">
            <w:pPr>
              <w:pStyle w:val="ListParagraph"/>
              <w:ind w:left="0"/>
              <w:rPr>
                <w:sz w:val="22"/>
              </w:rPr>
            </w:pPr>
            <w:r w:rsidRPr="0069660B">
              <w:rPr>
                <w:sz w:val="22"/>
              </w:rPr>
              <w:t>Lake McConaughy EA</w:t>
            </w:r>
            <w:r>
              <w:rPr>
                <w:sz w:val="22"/>
              </w:rPr>
              <w:t xml:space="preserve"> – Storable Natural Inflows (Nebraska)</w:t>
            </w:r>
          </w:p>
        </w:tc>
        <w:tc>
          <w:tcPr>
            <w:tcW w:w="2722" w:type="dxa"/>
          </w:tcPr>
          <w:p w14:paraId="747FB33E" w14:textId="77777777" w:rsidR="003142D6" w:rsidRPr="0069660B" w:rsidRDefault="003142D6" w:rsidP="00016204">
            <w:pPr>
              <w:pStyle w:val="ListParagraph"/>
              <w:ind w:left="0"/>
              <w:jc w:val="center"/>
              <w:rPr>
                <w:sz w:val="22"/>
              </w:rPr>
            </w:pPr>
            <w:r w:rsidRPr="0069660B">
              <w:rPr>
                <w:sz w:val="22"/>
              </w:rPr>
              <w:t>2007</w:t>
            </w:r>
          </w:p>
        </w:tc>
      </w:tr>
      <w:tr w:rsidR="003142D6" w:rsidRPr="0069660B" w14:paraId="6A57BEA0" w14:textId="77777777" w:rsidTr="003142D6">
        <w:trPr>
          <w:trHeight w:val="288"/>
        </w:trPr>
        <w:tc>
          <w:tcPr>
            <w:tcW w:w="6723" w:type="dxa"/>
          </w:tcPr>
          <w:p w14:paraId="32B1C78F" w14:textId="2F10AF14" w:rsidR="003142D6" w:rsidRPr="0069660B" w:rsidRDefault="003142D6" w:rsidP="00016204">
            <w:pPr>
              <w:pStyle w:val="ListParagraph"/>
              <w:ind w:left="0"/>
              <w:rPr>
                <w:sz w:val="22"/>
              </w:rPr>
            </w:pPr>
            <w:r w:rsidRPr="0069660B">
              <w:rPr>
                <w:sz w:val="22"/>
              </w:rPr>
              <w:t>Pathfinder EA</w:t>
            </w:r>
            <w:r>
              <w:rPr>
                <w:sz w:val="22"/>
              </w:rPr>
              <w:t xml:space="preserve"> (Wyoming)</w:t>
            </w:r>
          </w:p>
        </w:tc>
        <w:tc>
          <w:tcPr>
            <w:tcW w:w="2722" w:type="dxa"/>
          </w:tcPr>
          <w:p w14:paraId="69418B25" w14:textId="77777777" w:rsidR="003142D6" w:rsidRPr="0069660B" w:rsidRDefault="003142D6" w:rsidP="00016204">
            <w:pPr>
              <w:pStyle w:val="ListParagraph"/>
              <w:ind w:left="0"/>
              <w:jc w:val="center"/>
              <w:rPr>
                <w:sz w:val="22"/>
              </w:rPr>
            </w:pPr>
            <w:r w:rsidRPr="0069660B">
              <w:rPr>
                <w:sz w:val="22"/>
              </w:rPr>
              <w:t>2012</w:t>
            </w:r>
          </w:p>
        </w:tc>
      </w:tr>
      <w:tr w:rsidR="003142D6" w:rsidRPr="0069660B" w14:paraId="7B169BF9" w14:textId="77777777" w:rsidTr="00A05452">
        <w:trPr>
          <w:trHeight w:val="288"/>
        </w:trPr>
        <w:tc>
          <w:tcPr>
            <w:tcW w:w="9445" w:type="dxa"/>
            <w:gridSpan w:val="2"/>
            <w:shd w:val="clear" w:color="auto" w:fill="BFBFBF" w:themeFill="background1" w:themeFillShade="BF"/>
          </w:tcPr>
          <w:p w14:paraId="51104E77" w14:textId="11C6862D" w:rsidR="003142D6" w:rsidRPr="0069660B" w:rsidRDefault="003142D6" w:rsidP="00016204">
            <w:pPr>
              <w:pStyle w:val="ListParagraph"/>
              <w:ind w:left="0"/>
              <w:rPr>
                <w:sz w:val="22"/>
              </w:rPr>
            </w:pPr>
            <w:r w:rsidRPr="0069660B">
              <w:rPr>
                <w:sz w:val="22"/>
              </w:rPr>
              <w:t>Water Action Plan</w:t>
            </w:r>
            <w:r>
              <w:rPr>
                <w:sz w:val="22"/>
              </w:rPr>
              <w:t xml:space="preserve"> (WAP)</w:t>
            </w:r>
            <w:r w:rsidRPr="0069660B">
              <w:rPr>
                <w:sz w:val="22"/>
              </w:rPr>
              <w:t xml:space="preserve"> Projects</w:t>
            </w:r>
          </w:p>
        </w:tc>
      </w:tr>
      <w:tr w:rsidR="003142D6" w:rsidRPr="0069660B" w14:paraId="3D58F63C" w14:textId="77777777" w:rsidTr="003142D6">
        <w:trPr>
          <w:trHeight w:val="288"/>
        </w:trPr>
        <w:tc>
          <w:tcPr>
            <w:tcW w:w="6723" w:type="dxa"/>
          </w:tcPr>
          <w:p w14:paraId="2D6A898F" w14:textId="77777777" w:rsidR="003142D6" w:rsidRPr="0069660B" w:rsidRDefault="003142D6" w:rsidP="00016204">
            <w:pPr>
              <w:pStyle w:val="ListParagraph"/>
              <w:ind w:left="0"/>
              <w:rPr>
                <w:sz w:val="22"/>
              </w:rPr>
            </w:pPr>
            <w:r w:rsidRPr="0069660B">
              <w:rPr>
                <w:sz w:val="22"/>
              </w:rPr>
              <w:t xml:space="preserve">No-Cost </w:t>
            </w:r>
            <w:r>
              <w:rPr>
                <w:sz w:val="22"/>
              </w:rPr>
              <w:t>Net Controllable Conserved Water (NCCW)</w:t>
            </w:r>
          </w:p>
        </w:tc>
        <w:tc>
          <w:tcPr>
            <w:tcW w:w="2722" w:type="dxa"/>
          </w:tcPr>
          <w:p w14:paraId="6B2BEE37" w14:textId="77777777" w:rsidR="003142D6" w:rsidRPr="0069660B" w:rsidRDefault="003142D6" w:rsidP="00016204">
            <w:pPr>
              <w:pStyle w:val="ListParagraph"/>
              <w:ind w:left="0"/>
              <w:jc w:val="center"/>
              <w:rPr>
                <w:sz w:val="22"/>
              </w:rPr>
            </w:pPr>
            <w:r w:rsidRPr="0069660B">
              <w:rPr>
                <w:sz w:val="22"/>
              </w:rPr>
              <w:t>2007</w:t>
            </w:r>
          </w:p>
        </w:tc>
      </w:tr>
      <w:tr w:rsidR="003142D6" w:rsidRPr="0069660B" w14:paraId="6EA5D7B0" w14:textId="77777777" w:rsidTr="003142D6">
        <w:trPr>
          <w:trHeight w:val="288"/>
        </w:trPr>
        <w:tc>
          <w:tcPr>
            <w:tcW w:w="6723" w:type="dxa"/>
          </w:tcPr>
          <w:p w14:paraId="18EB3890" w14:textId="77777777" w:rsidR="003142D6" w:rsidRPr="0069660B" w:rsidRDefault="003142D6" w:rsidP="00016204">
            <w:pPr>
              <w:pStyle w:val="ListParagraph"/>
              <w:ind w:left="0"/>
              <w:rPr>
                <w:sz w:val="22"/>
              </w:rPr>
            </w:pPr>
            <w:r w:rsidRPr="0069660B">
              <w:rPr>
                <w:sz w:val="22"/>
              </w:rPr>
              <w:t>Phelps County Canal Groundwater Recharge</w:t>
            </w:r>
          </w:p>
        </w:tc>
        <w:tc>
          <w:tcPr>
            <w:tcW w:w="2722" w:type="dxa"/>
          </w:tcPr>
          <w:p w14:paraId="12E59AD9" w14:textId="77777777" w:rsidR="003142D6" w:rsidRPr="0069660B" w:rsidRDefault="003142D6" w:rsidP="00016204">
            <w:pPr>
              <w:pStyle w:val="ListParagraph"/>
              <w:ind w:left="0"/>
              <w:jc w:val="center"/>
              <w:rPr>
                <w:sz w:val="22"/>
              </w:rPr>
            </w:pPr>
            <w:r w:rsidRPr="0069660B">
              <w:rPr>
                <w:sz w:val="22"/>
              </w:rPr>
              <w:t>2011</w:t>
            </w:r>
          </w:p>
        </w:tc>
      </w:tr>
      <w:tr w:rsidR="003142D6" w:rsidRPr="0069660B" w14:paraId="333BEC6E" w14:textId="77777777" w:rsidTr="003142D6">
        <w:trPr>
          <w:trHeight w:val="288"/>
        </w:trPr>
        <w:tc>
          <w:tcPr>
            <w:tcW w:w="6723" w:type="dxa"/>
          </w:tcPr>
          <w:p w14:paraId="6B507D29" w14:textId="77777777" w:rsidR="003142D6" w:rsidRPr="0069660B" w:rsidRDefault="003142D6" w:rsidP="00016204">
            <w:pPr>
              <w:pStyle w:val="ListParagraph"/>
              <w:ind w:left="0"/>
              <w:rPr>
                <w:sz w:val="22"/>
              </w:rPr>
            </w:pPr>
            <w:r w:rsidRPr="0069660B">
              <w:rPr>
                <w:sz w:val="22"/>
              </w:rPr>
              <w:t>Pathfinder Municipal Account Lease</w:t>
            </w:r>
          </w:p>
        </w:tc>
        <w:tc>
          <w:tcPr>
            <w:tcW w:w="2722" w:type="dxa"/>
          </w:tcPr>
          <w:p w14:paraId="09DE8269" w14:textId="77777777" w:rsidR="003142D6" w:rsidRPr="0069660B" w:rsidRDefault="003142D6" w:rsidP="00016204">
            <w:pPr>
              <w:pStyle w:val="ListParagraph"/>
              <w:ind w:left="0"/>
              <w:jc w:val="center"/>
              <w:rPr>
                <w:sz w:val="22"/>
              </w:rPr>
            </w:pPr>
            <w:r w:rsidRPr="0069660B">
              <w:rPr>
                <w:sz w:val="22"/>
              </w:rPr>
              <w:t>2012</w:t>
            </w:r>
          </w:p>
        </w:tc>
      </w:tr>
      <w:tr w:rsidR="003142D6" w:rsidRPr="0069660B" w14:paraId="7CC1637F" w14:textId="77777777" w:rsidTr="003142D6">
        <w:trPr>
          <w:trHeight w:val="288"/>
        </w:trPr>
        <w:tc>
          <w:tcPr>
            <w:tcW w:w="6723" w:type="dxa"/>
          </w:tcPr>
          <w:p w14:paraId="1CEA145A" w14:textId="7052BF1C" w:rsidR="003142D6" w:rsidRPr="0069660B" w:rsidRDefault="003142D6" w:rsidP="00016204">
            <w:pPr>
              <w:pStyle w:val="ListParagraph"/>
              <w:ind w:left="0"/>
              <w:rPr>
                <w:sz w:val="22"/>
              </w:rPr>
            </w:pPr>
            <w:r w:rsidRPr="0069660B">
              <w:rPr>
                <w:sz w:val="22"/>
              </w:rPr>
              <w:t>CPNRD Recharge (Thirty Mile, Cozad, and Orchard-Alfalfa canals)</w:t>
            </w:r>
          </w:p>
        </w:tc>
        <w:tc>
          <w:tcPr>
            <w:tcW w:w="2722" w:type="dxa"/>
          </w:tcPr>
          <w:p w14:paraId="5B1B72BF" w14:textId="77777777" w:rsidR="003142D6" w:rsidRPr="0069660B" w:rsidRDefault="003142D6" w:rsidP="00016204">
            <w:pPr>
              <w:pStyle w:val="ListParagraph"/>
              <w:ind w:left="0"/>
              <w:jc w:val="center"/>
              <w:rPr>
                <w:sz w:val="22"/>
              </w:rPr>
            </w:pPr>
            <w:r w:rsidRPr="0069660B">
              <w:rPr>
                <w:sz w:val="22"/>
              </w:rPr>
              <w:t>201</w:t>
            </w:r>
            <w:r>
              <w:rPr>
                <w:sz w:val="22"/>
              </w:rPr>
              <w:t>3</w:t>
            </w:r>
          </w:p>
        </w:tc>
      </w:tr>
      <w:tr w:rsidR="003142D6" w:rsidRPr="0069660B" w14:paraId="167D4780" w14:textId="77777777" w:rsidTr="003142D6">
        <w:trPr>
          <w:trHeight w:val="288"/>
        </w:trPr>
        <w:tc>
          <w:tcPr>
            <w:tcW w:w="6723" w:type="dxa"/>
          </w:tcPr>
          <w:p w14:paraId="2212EC9C" w14:textId="77777777" w:rsidR="003142D6" w:rsidRPr="0069660B" w:rsidRDefault="003142D6" w:rsidP="00016204">
            <w:pPr>
              <w:pStyle w:val="ListParagraph"/>
              <w:ind w:left="0"/>
              <w:rPr>
                <w:sz w:val="22"/>
              </w:rPr>
            </w:pPr>
            <w:r w:rsidRPr="0069660B">
              <w:rPr>
                <w:sz w:val="22"/>
              </w:rPr>
              <w:t>Elwood Reservoir Recharge</w:t>
            </w:r>
          </w:p>
        </w:tc>
        <w:tc>
          <w:tcPr>
            <w:tcW w:w="2722" w:type="dxa"/>
          </w:tcPr>
          <w:p w14:paraId="4B0BDEAF" w14:textId="77777777" w:rsidR="003142D6" w:rsidRPr="0069660B" w:rsidRDefault="003142D6" w:rsidP="00016204">
            <w:pPr>
              <w:pStyle w:val="ListParagraph"/>
              <w:ind w:left="0"/>
              <w:jc w:val="center"/>
              <w:rPr>
                <w:sz w:val="22"/>
              </w:rPr>
            </w:pPr>
            <w:r w:rsidRPr="0069660B">
              <w:rPr>
                <w:sz w:val="22"/>
              </w:rPr>
              <w:t>2015</w:t>
            </w:r>
          </w:p>
        </w:tc>
      </w:tr>
      <w:tr w:rsidR="003142D6" w:rsidRPr="0069660B" w14:paraId="4A90D9EC" w14:textId="77777777" w:rsidTr="003142D6">
        <w:trPr>
          <w:trHeight w:val="288"/>
        </w:trPr>
        <w:tc>
          <w:tcPr>
            <w:tcW w:w="6723" w:type="dxa"/>
          </w:tcPr>
          <w:p w14:paraId="5F2CC3AD" w14:textId="317A77EE" w:rsidR="003142D6" w:rsidRPr="0069660B" w:rsidRDefault="003142D6" w:rsidP="00016204">
            <w:pPr>
              <w:pStyle w:val="ListParagraph"/>
              <w:ind w:left="0"/>
              <w:rPr>
                <w:sz w:val="22"/>
              </w:rPr>
            </w:pPr>
            <w:r w:rsidRPr="0069660B">
              <w:rPr>
                <w:sz w:val="22"/>
              </w:rPr>
              <w:t>NPPD Recharge (Gothenburg and Dawson County canals)</w:t>
            </w:r>
          </w:p>
        </w:tc>
        <w:tc>
          <w:tcPr>
            <w:tcW w:w="2722" w:type="dxa"/>
          </w:tcPr>
          <w:p w14:paraId="535BBD4E" w14:textId="77777777" w:rsidR="003142D6" w:rsidRPr="0069660B" w:rsidRDefault="003142D6" w:rsidP="00016204">
            <w:pPr>
              <w:pStyle w:val="ListParagraph"/>
              <w:ind w:left="0"/>
              <w:jc w:val="center"/>
              <w:rPr>
                <w:sz w:val="22"/>
              </w:rPr>
            </w:pPr>
            <w:r w:rsidRPr="0069660B">
              <w:rPr>
                <w:sz w:val="22"/>
              </w:rPr>
              <w:t>2015</w:t>
            </w:r>
          </w:p>
        </w:tc>
      </w:tr>
      <w:tr w:rsidR="003142D6" w:rsidRPr="0069660B" w14:paraId="389E78E3" w14:textId="77777777" w:rsidTr="003142D6">
        <w:trPr>
          <w:trHeight w:val="288"/>
        </w:trPr>
        <w:tc>
          <w:tcPr>
            <w:tcW w:w="6723" w:type="dxa"/>
          </w:tcPr>
          <w:p w14:paraId="3205059B" w14:textId="77777777" w:rsidR="003142D6" w:rsidRPr="0069660B" w:rsidRDefault="003142D6" w:rsidP="00016204">
            <w:pPr>
              <w:pStyle w:val="ListParagraph"/>
              <w:ind w:left="0"/>
              <w:rPr>
                <w:sz w:val="22"/>
              </w:rPr>
            </w:pPr>
            <w:r w:rsidRPr="0069660B">
              <w:rPr>
                <w:sz w:val="22"/>
              </w:rPr>
              <w:t>Cook Recapture Well</w:t>
            </w:r>
            <w:r>
              <w:rPr>
                <w:sz w:val="22"/>
              </w:rPr>
              <w:t xml:space="preserve"> (part of the Phelps recharge project)</w:t>
            </w:r>
          </w:p>
        </w:tc>
        <w:tc>
          <w:tcPr>
            <w:tcW w:w="2722" w:type="dxa"/>
          </w:tcPr>
          <w:p w14:paraId="05B4EC92" w14:textId="77777777" w:rsidR="003142D6" w:rsidRPr="0069660B" w:rsidRDefault="003142D6" w:rsidP="00016204">
            <w:pPr>
              <w:pStyle w:val="ListParagraph"/>
              <w:ind w:left="0"/>
              <w:jc w:val="center"/>
              <w:rPr>
                <w:sz w:val="22"/>
              </w:rPr>
            </w:pPr>
            <w:r w:rsidRPr="0069660B">
              <w:rPr>
                <w:sz w:val="22"/>
              </w:rPr>
              <w:t>2016</w:t>
            </w:r>
          </w:p>
        </w:tc>
      </w:tr>
      <w:tr w:rsidR="003142D6" w:rsidRPr="0069660B" w14:paraId="22709840" w14:textId="77777777" w:rsidTr="003142D6">
        <w:trPr>
          <w:trHeight w:val="288"/>
        </w:trPr>
        <w:tc>
          <w:tcPr>
            <w:tcW w:w="6723" w:type="dxa"/>
          </w:tcPr>
          <w:p w14:paraId="3290696B" w14:textId="4257A886" w:rsidR="003142D6" w:rsidRPr="0069660B" w:rsidRDefault="003142D6" w:rsidP="00016204">
            <w:pPr>
              <w:pStyle w:val="ListParagraph"/>
              <w:ind w:left="0"/>
              <w:rPr>
                <w:sz w:val="22"/>
              </w:rPr>
            </w:pPr>
            <w:r w:rsidRPr="0069660B">
              <w:rPr>
                <w:sz w:val="22"/>
              </w:rPr>
              <w:t>CNPPID Irrigator Lease</w:t>
            </w:r>
          </w:p>
        </w:tc>
        <w:tc>
          <w:tcPr>
            <w:tcW w:w="2722" w:type="dxa"/>
          </w:tcPr>
          <w:p w14:paraId="6928F640" w14:textId="77777777" w:rsidR="003142D6" w:rsidRPr="0069660B" w:rsidRDefault="003142D6" w:rsidP="00016204">
            <w:pPr>
              <w:pStyle w:val="ListParagraph"/>
              <w:ind w:left="0"/>
              <w:jc w:val="center"/>
              <w:rPr>
                <w:sz w:val="22"/>
              </w:rPr>
            </w:pPr>
            <w:r w:rsidRPr="0069660B">
              <w:rPr>
                <w:sz w:val="22"/>
              </w:rPr>
              <w:t>2016</w:t>
            </w:r>
          </w:p>
        </w:tc>
      </w:tr>
      <w:tr w:rsidR="003142D6" w:rsidRPr="0069660B" w14:paraId="4AC3C508" w14:textId="77777777" w:rsidTr="003142D6">
        <w:trPr>
          <w:trHeight w:val="288"/>
        </w:trPr>
        <w:tc>
          <w:tcPr>
            <w:tcW w:w="6723" w:type="dxa"/>
          </w:tcPr>
          <w:p w14:paraId="548D92E9" w14:textId="77777777" w:rsidR="003142D6" w:rsidRPr="0069660B" w:rsidRDefault="003142D6" w:rsidP="00016204">
            <w:pPr>
              <w:pStyle w:val="ListParagraph"/>
              <w:ind w:left="0"/>
              <w:rPr>
                <w:sz w:val="22"/>
              </w:rPr>
            </w:pPr>
            <w:r w:rsidRPr="0069660B">
              <w:rPr>
                <w:sz w:val="22"/>
              </w:rPr>
              <w:t xml:space="preserve">CPNRD </w:t>
            </w:r>
            <w:r>
              <w:rPr>
                <w:sz w:val="22"/>
              </w:rPr>
              <w:t>Surface Water Lease</w:t>
            </w:r>
          </w:p>
        </w:tc>
        <w:tc>
          <w:tcPr>
            <w:tcW w:w="2722" w:type="dxa"/>
          </w:tcPr>
          <w:p w14:paraId="5649CF4F" w14:textId="77777777" w:rsidR="003142D6" w:rsidRPr="0069660B" w:rsidRDefault="003142D6" w:rsidP="00016204">
            <w:pPr>
              <w:pStyle w:val="ListParagraph"/>
              <w:ind w:left="0"/>
              <w:jc w:val="center"/>
              <w:rPr>
                <w:sz w:val="22"/>
              </w:rPr>
            </w:pPr>
            <w:r w:rsidRPr="0069660B">
              <w:rPr>
                <w:sz w:val="22"/>
              </w:rPr>
              <w:t>2018</w:t>
            </w:r>
          </w:p>
        </w:tc>
      </w:tr>
      <w:tr w:rsidR="003142D6" w:rsidRPr="0069660B" w14:paraId="711D340D" w14:textId="77777777" w:rsidTr="003142D6">
        <w:trPr>
          <w:trHeight w:val="288"/>
        </w:trPr>
        <w:tc>
          <w:tcPr>
            <w:tcW w:w="6723" w:type="dxa"/>
          </w:tcPr>
          <w:p w14:paraId="536A9640" w14:textId="77777777" w:rsidR="003142D6" w:rsidRPr="0069660B" w:rsidRDefault="003142D6" w:rsidP="00016204">
            <w:pPr>
              <w:pStyle w:val="ListParagraph"/>
              <w:ind w:left="0"/>
              <w:rPr>
                <w:sz w:val="22"/>
              </w:rPr>
            </w:pPr>
            <w:r>
              <w:rPr>
                <w:sz w:val="22"/>
              </w:rPr>
              <w:t>NPPD Surface Water Lease</w:t>
            </w:r>
          </w:p>
        </w:tc>
        <w:tc>
          <w:tcPr>
            <w:tcW w:w="2722" w:type="dxa"/>
          </w:tcPr>
          <w:p w14:paraId="3B1306FE" w14:textId="77777777" w:rsidR="003142D6" w:rsidRPr="0069660B" w:rsidRDefault="003142D6" w:rsidP="00016204">
            <w:pPr>
              <w:pStyle w:val="ListParagraph"/>
              <w:ind w:left="0"/>
              <w:jc w:val="center"/>
              <w:rPr>
                <w:sz w:val="22"/>
              </w:rPr>
            </w:pPr>
            <w:r>
              <w:rPr>
                <w:sz w:val="22"/>
              </w:rPr>
              <w:t>2019</w:t>
            </w:r>
          </w:p>
        </w:tc>
      </w:tr>
      <w:tr w:rsidR="003142D6" w:rsidRPr="0069660B" w14:paraId="2B03ECA8" w14:textId="77777777" w:rsidTr="003142D6">
        <w:trPr>
          <w:trHeight w:val="288"/>
        </w:trPr>
        <w:tc>
          <w:tcPr>
            <w:tcW w:w="6723" w:type="dxa"/>
          </w:tcPr>
          <w:p w14:paraId="0862CFBC" w14:textId="77777777" w:rsidR="003142D6" w:rsidRPr="0069660B" w:rsidRDefault="003142D6" w:rsidP="00016204">
            <w:pPr>
              <w:pStyle w:val="ListParagraph"/>
              <w:ind w:left="0"/>
              <w:rPr>
                <w:sz w:val="22"/>
              </w:rPr>
            </w:pPr>
            <w:r>
              <w:rPr>
                <w:sz w:val="22"/>
              </w:rPr>
              <w:t xml:space="preserve">Cottonwood Ranch Broad-Scale Recharge </w:t>
            </w:r>
          </w:p>
        </w:tc>
        <w:tc>
          <w:tcPr>
            <w:tcW w:w="2722" w:type="dxa"/>
          </w:tcPr>
          <w:p w14:paraId="51C82042" w14:textId="77777777" w:rsidR="003142D6" w:rsidRPr="0069660B" w:rsidRDefault="003142D6" w:rsidP="00016204">
            <w:pPr>
              <w:pStyle w:val="ListParagraph"/>
              <w:ind w:left="0"/>
              <w:jc w:val="center"/>
              <w:rPr>
                <w:sz w:val="22"/>
              </w:rPr>
            </w:pPr>
            <w:r>
              <w:rPr>
                <w:sz w:val="22"/>
              </w:rPr>
              <w:t>2020</w:t>
            </w:r>
          </w:p>
        </w:tc>
      </w:tr>
    </w:tbl>
    <w:p w14:paraId="4CDEB03F" w14:textId="4A76EF71" w:rsidR="002B16BA" w:rsidRDefault="002B16BA" w:rsidP="007503A9">
      <w:r>
        <w:rPr>
          <w:szCs w:val="24"/>
        </w:rPr>
        <w:lastRenderedPageBreak/>
        <w:t xml:space="preserve">Program water projects are </w:t>
      </w:r>
      <w:r>
        <w:t>generally one of two types</w:t>
      </w:r>
      <w:r w:rsidR="00B754F5">
        <w:t>, and the sections that follow are organized accordingly</w:t>
      </w:r>
      <w:r>
        <w:t xml:space="preserve">:  </w:t>
      </w:r>
    </w:p>
    <w:p w14:paraId="4FCC9200" w14:textId="77777777" w:rsidR="007503A9" w:rsidRDefault="007503A9" w:rsidP="007503A9"/>
    <w:p w14:paraId="2EB39146" w14:textId="17D2B757" w:rsidR="002B16BA" w:rsidRDefault="000E2EBF" w:rsidP="007503A9">
      <w:pPr>
        <w:pStyle w:val="ListParagraph"/>
        <w:numPr>
          <w:ilvl w:val="0"/>
          <w:numId w:val="25"/>
        </w:numPr>
      </w:pPr>
      <w:r>
        <w:t>P</w:t>
      </w:r>
      <w:r w:rsidR="002B16BA">
        <w:t xml:space="preserve">rojects that divert Platte River streamflows </w:t>
      </w:r>
      <w:r>
        <w:t xml:space="preserve">above </w:t>
      </w:r>
      <w:r w:rsidR="002B16BA">
        <w:t>U.S. Fish and Wildlife Service (USFWS) target</w:t>
      </w:r>
      <w:r>
        <w:t xml:space="preserve"> flows (i.e., </w:t>
      </w:r>
      <w:r w:rsidR="002B16BA">
        <w:t>excess flows</w:t>
      </w:r>
      <w:r>
        <w:t>)</w:t>
      </w:r>
      <w:r w:rsidR="002B16BA">
        <w:t xml:space="preserve"> for retiming through</w:t>
      </w:r>
      <w:r>
        <w:t xml:space="preserve"> intentional</w:t>
      </w:r>
      <w:r w:rsidR="002B16BA">
        <w:t xml:space="preserve"> groundwater recharge,</w:t>
      </w:r>
      <w:r>
        <w:t xml:space="preserve"> mostly in existing canals and reservoirs.</w:t>
      </w:r>
      <w:r w:rsidR="002B16BA">
        <w:t xml:space="preserve"> </w:t>
      </w:r>
    </w:p>
    <w:p w14:paraId="1BF89FFE" w14:textId="096E241B" w:rsidR="002B16BA" w:rsidRDefault="000E2EBF" w:rsidP="007503A9">
      <w:pPr>
        <w:pStyle w:val="ListParagraph"/>
        <w:numPr>
          <w:ilvl w:val="0"/>
          <w:numId w:val="25"/>
        </w:numPr>
      </w:pPr>
      <w:r>
        <w:t>P</w:t>
      </w:r>
      <w:r w:rsidR="002B16BA">
        <w:t xml:space="preserve">rojects in which surface water is leased or otherwise made available </w:t>
      </w:r>
      <w:r>
        <w:t>in the</w:t>
      </w:r>
      <w:r w:rsidR="002B16BA">
        <w:t xml:space="preserve"> Lake McConaughy Environmental Account (EA) and later released to meet downstream flow needs.</w:t>
      </w:r>
    </w:p>
    <w:p w14:paraId="616BDE99" w14:textId="77777777" w:rsidR="007503A9" w:rsidRDefault="007503A9" w:rsidP="007503A9"/>
    <w:p w14:paraId="78E95098" w14:textId="1D370B5F" w:rsidR="00F16B64" w:rsidRDefault="002B16BA" w:rsidP="007503A9">
      <w:pPr>
        <w:rPr>
          <w:szCs w:val="24"/>
        </w:rPr>
      </w:pPr>
      <w:r>
        <w:rPr>
          <w:szCs w:val="24"/>
        </w:rPr>
        <w:t>Water projects accounting</w:t>
      </w:r>
      <w:r w:rsidR="00FC305C">
        <w:rPr>
          <w:szCs w:val="24"/>
        </w:rPr>
        <w:t xml:space="preserve"> seeks to assess the extent to which </w:t>
      </w:r>
      <w:r w:rsidR="006719C1">
        <w:rPr>
          <w:szCs w:val="24"/>
        </w:rPr>
        <w:t xml:space="preserve">the </w:t>
      </w:r>
      <w:r w:rsidR="00FC305C">
        <w:rPr>
          <w:szCs w:val="24"/>
        </w:rPr>
        <w:t>Program</w:t>
      </w:r>
      <w:r w:rsidR="006719C1">
        <w:rPr>
          <w:szCs w:val="24"/>
        </w:rPr>
        <w:t>’s water-related</w:t>
      </w:r>
      <w:r w:rsidR="00FC305C">
        <w:rPr>
          <w:szCs w:val="24"/>
        </w:rPr>
        <w:t xml:space="preserve"> efforts</w:t>
      </w:r>
      <w:r w:rsidR="006719C1">
        <w:rPr>
          <w:szCs w:val="24"/>
        </w:rPr>
        <w:t xml:space="preserve"> are fulfilling the intent of its water objectives by </w:t>
      </w:r>
      <w:r w:rsidR="00FC305C">
        <w:rPr>
          <w:szCs w:val="24"/>
        </w:rPr>
        <w:t xml:space="preserve">contributing to real-time reductions to target flow deficits.  The </w:t>
      </w:r>
      <w:r>
        <w:rPr>
          <w:szCs w:val="24"/>
        </w:rPr>
        <w:t>analyses utilize actual volumes of water leased or recharged; gaged streamflows as recorded at Grand Island</w:t>
      </w:r>
      <w:r w:rsidR="00CB7699">
        <w:rPr>
          <w:szCs w:val="24"/>
        </w:rPr>
        <w:t xml:space="preserve"> (USGS 06770500)</w:t>
      </w:r>
      <w:r>
        <w:rPr>
          <w:szCs w:val="24"/>
        </w:rPr>
        <w:t xml:space="preserve"> since </w:t>
      </w:r>
      <w:r w:rsidR="00B7245D">
        <w:rPr>
          <w:szCs w:val="24"/>
        </w:rPr>
        <w:t>2007</w:t>
      </w:r>
      <w:r>
        <w:rPr>
          <w:szCs w:val="24"/>
        </w:rPr>
        <w:t xml:space="preserve"> (or whenever project operations subsequently began); and </w:t>
      </w:r>
      <w:r w:rsidR="000E2EBF">
        <w:rPr>
          <w:szCs w:val="24"/>
        </w:rPr>
        <w:t xml:space="preserve">the </w:t>
      </w:r>
      <w:r>
        <w:rPr>
          <w:szCs w:val="24"/>
        </w:rPr>
        <w:t>real-time hydrologic condition</w:t>
      </w:r>
      <w:r w:rsidR="00B754F5">
        <w:rPr>
          <w:szCs w:val="24"/>
        </w:rPr>
        <w:t>—wet</w:t>
      </w:r>
      <w:r w:rsidR="000E2EBF">
        <w:rPr>
          <w:szCs w:val="24"/>
        </w:rPr>
        <w:t>, normal, or dry, as evaluated by the EDO using methods developed by the USFWS</w:t>
      </w:r>
      <w:r w:rsidR="00B754F5">
        <w:rPr>
          <w:szCs w:val="24"/>
        </w:rPr>
        <w:t xml:space="preserve">—which </w:t>
      </w:r>
      <w:r>
        <w:rPr>
          <w:szCs w:val="24"/>
        </w:rPr>
        <w:t>can vary throughout the calendar year based on near-term flow</w:t>
      </w:r>
      <w:r w:rsidR="000E2EBF">
        <w:rPr>
          <w:szCs w:val="24"/>
        </w:rPr>
        <w:t>,</w:t>
      </w:r>
      <w:r>
        <w:rPr>
          <w:szCs w:val="24"/>
        </w:rPr>
        <w:t xml:space="preserve"> climate</w:t>
      </w:r>
      <w:r w:rsidR="000E2EBF">
        <w:rPr>
          <w:szCs w:val="24"/>
        </w:rPr>
        <w:t xml:space="preserve">, and water supply </w:t>
      </w:r>
      <w:r>
        <w:rPr>
          <w:szCs w:val="24"/>
        </w:rPr>
        <w:t xml:space="preserve">conditions.  </w:t>
      </w:r>
    </w:p>
    <w:p w14:paraId="239EC3DD" w14:textId="77777777" w:rsidR="007503A9" w:rsidRDefault="007503A9" w:rsidP="007503A9">
      <w:pPr>
        <w:rPr>
          <w:szCs w:val="24"/>
        </w:rPr>
      </w:pPr>
    </w:p>
    <w:p w14:paraId="5BE2BB52" w14:textId="1AC0CDF1" w:rsidR="00BA1D19" w:rsidRDefault="00BA1D19" w:rsidP="007503A9">
      <w:pPr>
        <w:rPr>
          <w:szCs w:val="24"/>
        </w:rPr>
      </w:pPr>
      <w:r>
        <w:rPr>
          <w:szCs w:val="24"/>
        </w:rPr>
        <w:t>The previous accounting documentation included extensive discussion and comparison of operations accounting vs project scoring</w:t>
      </w:r>
      <w:r w:rsidR="00E510CD">
        <w:rPr>
          <w:rStyle w:val="FootnoteReference"/>
          <w:szCs w:val="24"/>
        </w:rPr>
        <w:footnoteReference w:id="3"/>
      </w:r>
      <w:r>
        <w:rPr>
          <w:szCs w:val="24"/>
        </w:rPr>
        <w:t>.  Inherent differences in the analyses dictate that results are not likely to match, and two other key factors were identified:</w:t>
      </w:r>
    </w:p>
    <w:p w14:paraId="71A95424" w14:textId="77777777" w:rsidR="007503A9" w:rsidRDefault="007503A9" w:rsidP="007503A9">
      <w:pPr>
        <w:rPr>
          <w:szCs w:val="24"/>
        </w:rPr>
      </w:pPr>
    </w:p>
    <w:p w14:paraId="3EAB2D08" w14:textId="79CE63E1" w:rsidR="00772A50" w:rsidRPr="007503A9" w:rsidRDefault="00BA1D19" w:rsidP="007503A9">
      <w:pPr>
        <w:pStyle w:val="ListParagraph"/>
        <w:numPr>
          <w:ilvl w:val="0"/>
          <w:numId w:val="26"/>
        </w:numPr>
        <w:rPr>
          <w:szCs w:val="24"/>
        </w:rPr>
      </w:pPr>
      <w:r w:rsidRPr="007503A9">
        <w:rPr>
          <w:szCs w:val="24"/>
        </w:rPr>
        <w:t>Time</w:t>
      </w:r>
      <w:r w:rsidR="00496C6A" w:rsidRPr="007503A9">
        <w:rPr>
          <w:szCs w:val="24"/>
        </w:rPr>
        <w:t>, primarily</w:t>
      </w:r>
      <w:r w:rsidRPr="007503A9">
        <w:rPr>
          <w:szCs w:val="24"/>
        </w:rPr>
        <w:t xml:space="preserve"> in the sense that project scores are based on 48-year averages of model results and Program water projects have</w:t>
      </w:r>
      <w:r w:rsidR="00496C6A" w:rsidRPr="007503A9">
        <w:rPr>
          <w:szCs w:val="24"/>
        </w:rPr>
        <w:t xml:space="preserve"> at most</w:t>
      </w:r>
      <w:r w:rsidR="00987110">
        <w:rPr>
          <w:szCs w:val="24"/>
        </w:rPr>
        <w:t xml:space="preserve"> (now)</w:t>
      </w:r>
      <w:r w:rsidR="00496C6A" w:rsidRPr="007503A9">
        <w:rPr>
          <w:szCs w:val="24"/>
        </w:rPr>
        <w:t xml:space="preserve"> 14 years of real operations data, but also that </w:t>
      </w:r>
      <w:r w:rsidR="00496C6A">
        <w:t>the nature of groundwater recharge projects is such that return flows to the river lag behind the time of diversion and recharge by months to years, even decades.  After just a few years of operations, large quantities of water recharged for the Program</w:t>
      </w:r>
      <w:r w:rsidR="00772A50">
        <w:t xml:space="preserve"> have not yet returned to the river.</w:t>
      </w:r>
    </w:p>
    <w:p w14:paraId="4F0DC2BE" w14:textId="1226229D" w:rsidR="00E510CD" w:rsidRPr="007503A9" w:rsidRDefault="00772A50" w:rsidP="007503A9">
      <w:pPr>
        <w:pStyle w:val="ListParagraph"/>
        <w:numPr>
          <w:ilvl w:val="0"/>
          <w:numId w:val="26"/>
        </w:numPr>
        <w:rPr>
          <w:szCs w:val="24"/>
        </w:rPr>
      </w:pPr>
      <w:r>
        <w:t>Reduced availability of excess flows since 2007 compared to the 1947-1994 historical period, with the most significant differences in the winter months</w:t>
      </w:r>
      <w:r w:rsidR="00E510CD">
        <w:t xml:space="preserve"> impacting diversions for recharge projects</w:t>
      </w:r>
      <w:r>
        <w:t>.</w:t>
      </w:r>
    </w:p>
    <w:p w14:paraId="5C0A96E9" w14:textId="77777777" w:rsidR="007503A9" w:rsidRPr="007503A9" w:rsidRDefault="007503A9" w:rsidP="007503A9">
      <w:pPr>
        <w:pStyle w:val="ListParagraph"/>
        <w:rPr>
          <w:szCs w:val="24"/>
        </w:rPr>
      </w:pPr>
    </w:p>
    <w:p w14:paraId="1F21EF65" w14:textId="77777777" w:rsidR="00E128C0" w:rsidRDefault="00E510CD" w:rsidP="007503A9">
      <w:r>
        <w:t>Nothing has changed with just two more years of project operations (2019-2020)</w:t>
      </w:r>
      <w:r w:rsidR="00BD545B">
        <w:t xml:space="preserve"> that would </w:t>
      </w:r>
      <w:r w:rsidR="00E128C0">
        <w:t xml:space="preserve">alter </w:t>
      </w:r>
      <w:r w:rsidR="00BD545B">
        <w:t>any conclusions</w:t>
      </w:r>
      <w:r w:rsidR="00E128C0">
        <w:t xml:space="preserve"> related to these factors</w:t>
      </w:r>
      <w:r>
        <w:t>, so those comparisons are not necessary to repeat here.</w:t>
      </w:r>
    </w:p>
    <w:p w14:paraId="59C5275C" w14:textId="1AAAA252" w:rsidR="005D2B37" w:rsidRDefault="00E510CD" w:rsidP="007503A9">
      <w:r>
        <w:t xml:space="preserve"> </w:t>
      </w:r>
    </w:p>
    <w:p w14:paraId="421A27D9" w14:textId="6ACD1479" w:rsidR="00BA1D19" w:rsidRPr="00E510CD" w:rsidRDefault="005D2B37" w:rsidP="007503A9">
      <w:pPr>
        <w:rPr>
          <w:szCs w:val="24"/>
        </w:rPr>
      </w:pPr>
      <w:r>
        <w:t xml:space="preserve">In addition, the previous accounting memo included extensive appendices </w:t>
      </w:r>
      <w:r w:rsidR="00DE7293">
        <w:t>consisting of</w:t>
      </w:r>
      <w:r w:rsidR="00E510CD">
        <w:t xml:space="preserve"> </w:t>
      </w:r>
      <w:r>
        <w:rPr>
          <w:szCs w:val="24"/>
        </w:rPr>
        <w:t xml:space="preserve">Water Service Agreements (WSAs) or lease agreements between the Program and other entities, permits issued by the Nebraska Department of Natural Resources (NDNR) for diversions from the Platte River, invoices for water paid by the Program, and other relevant supporting documentation.  All of those documents for 2019-2020 water projects operations are available in the EDO’s files and are not necessary to include here.  </w:t>
      </w:r>
      <w:r w:rsidR="00496C6A">
        <w:t xml:space="preserve"> </w:t>
      </w:r>
      <w:r w:rsidR="00496C6A" w:rsidRPr="00E510CD">
        <w:rPr>
          <w:szCs w:val="24"/>
        </w:rPr>
        <w:t xml:space="preserve">  </w:t>
      </w:r>
    </w:p>
    <w:p w14:paraId="0C509E02" w14:textId="2CF4F18B" w:rsidR="00494FEF" w:rsidRDefault="00494FEF" w:rsidP="00B9798C">
      <w:pPr>
        <w:pStyle w:val="ListParagraph"/>
        <w:numPr>
          <w:ilvl w:val="0"/>
          <w:numId w:val="1"/>
        </w:numPr>
        <w:spacing w:before="360" w:after="240"/>
        <w:rPr>
          <w:b/>
        </w:rPr>
      </w:pPr>
      <w:r>
        <w:rPr>
          <w:b/>
        </w:rPr>
        <w:lastRenderedPageBreak/>
        <w:t>GROUNDWATER RECHARGE</w:t>
      </w:r>
    </w:p>
    <w:p w14:paraId="070050E8" w14:textId="2B4F3600" w:rsidR="004609FF" w:rsidRDefault="009C7A37" w:rsidP="001C763C">
      <w:r>
        <w:t>By 2020, the following groundwater recharge projects were being operated to benefit the Program:</w:t>
      </w:r>
    </w:p>
    <w:p w14:paraId="18D75992" w14:textId="79FB8FD3" w:rsidR="009C7A37" w:rsidRDefault="009C7A37" w:rsidP="001C763C"/>
    <w:p w14:paraId="42C9790E" w14:textId="5BE4800E" w:rsidR="009C7A37" w:rsidRDefault="009C7A37" w:rsidP="001C763C">
      <w:pPr>
        <w:pStyle w:val="ListParagraph"/>
        <w:numPr>
          <w:ilvl w:val="0"/>
          <w:numId w:val="27"/>
        </w:numPr>
      </w:pPr>
      <w:r>
        <w:t>Tamarack I project in northeast Colorado</w:t>
      </w:r>
    </w:p>
    <w:p w14:paraId="78527A88" w14:textId="52875585" w:rsidR="009C7A37" w:rsidRDefault="009C7A37" w:rsidP="001C763C">
      <w:pPr>
        <w:pStyle w:val="ListParagraph"/>
        <w:numPr>
          <w:ilvl w:val="0"/>
          <w:numId w:val="27"/>
        </w:numPr>
      </w:pPr>
      <w:r>
        <w:t>Phelps County Canal groundwater recharge project and Cook recapture well</w:t>
      </w:r>
    </w:p>
    <w:p w14:paraId="54F51108" w14:textId="4121DC75" w:rsidR="009C7A37" w:rsidRDefault="009C7A37" w:rsidP="001C763C">
      <w:pPr>
        <w:pStyle w:val="ListParagraph"/>
        <w:numPr>
          <w:ilvl w:val="0"/>
          <w:numId w:val="27"/>
        </w:numPr>
      </w:pPr>
      <w:r>
        <w:t>Elwood Reservoir groundwater recharge project</w:t>
      </w:r>
    </w:p>
    <w:p w14:paraId="4AFA5D3E" w14:textId="19BC4022" w:rsidR="009C7A37" w:rsidRDefault="009C7A37" w:rsidP="001C763C">
      <w:pPr>
        <w:pStyle w:val="ListParagraph"/>
        <w:numPr>
          <w:ilvl w:val="0"/>
          <w:numId w:val="27"/>
        </w:numPr>
      </w:pPr>
      <w:r>
        <w:t>CPNRD recharge project using the Thirty Mile, Cozad, and Orchard-Alfalfa canals</w:t>
      </w:r>
    </w:p>
    <w:p w14:paraId="669E16F8" w14:textId="733E2456" w:rsidR="009C7A37" w:rsidRDefault="009C7A37" w:rsidP="001C763C">
      <w:pPr>
        <w:pStyle w:val="ListParagraph"/>
        <w:numPr>
          <w:ilvl w:val="0"/>
          <w:numId w:val="27"/>
        </w:numPr>
      </w:pPr>
      <w:r>
        <w:t>NPPD recharge project using the Gothenburg and Dawson County canals</w:t>
      </w:r>
    </w:p>
    <w:p w14:paraId="62BA21E3" w14:textId="565E47AF" w:rsidR="009C7A37" w:rsidRDefault="009C7A37" w:rsidP="001C763C">
      <w:pPr>
        <w:pStyle w:val="ListParagraph"/>
        <w:numPr>
          <w:ilvl w:val="0"/>
          <w:numId w:val="27"/>
        </w:numPr>
      </w:pPr>
      <w:r>
        <w:t>Cottonwood Ranch broad-scale recharge project</w:t>
      </w:r>
    </w:p>
    <w:p w14:paraId="2149F36E" w14:textId="77777777" w:rsidR="009C7A37" w:rsidRDefault="009C7A37" w:rsidP="001C763C"/>
    <w:p w14:paraId="2A123304" w14:textId="3EA816BD" w:rsidR="00F23588" w:rsidRDefault="009C7A37" w:rsidP="001C763C">
      <w:pPr>
        <w:rPr>
          <w:szCs w:val="24"/>
        </w:rPr>
      </w:pPr>
      <w:r>
        <w:t>O</w:t>
      </w:r>
      <w:r w:rsidR="004609FF">
        <w:t>perations accounting</w:t>
      </w:r>
      <w:r>
        <w:t xml:space="preserve"> for recharge projects</w:t>
      </w:r>
      <w:r w:rsidR="004609FF">
        <w:t xml:space="preserve"> is generally a process that begins with measured diversions of excess flows from the Platte River.  </w:t>
      </w:r>
      <w:r>
        <w:rPr>
          <w:szCs w:val="24"/>
        </w:rPr>
        <w:t>Excess flows are generally diverted for recharge during the non-irrigation season months between September and April, when the canal systems are not in use for the delivery of water to irrigators for crop production.  However, under certain conditions, water may be delivered to Elwood Reservoir or Cottonwood Ranch for recharge during the irrigation season</w:t>
      </w:r>
      <w:r w:rsidR="00D53925">
        <w:rPr>
          <w:szCs w:val="24"/>
        </w:rPr>
        <w:t xml:space="preserve"> as these facilities only rely on the canals for deliveries</w:t>
      </w:r>
      <w:r>
        <w:rPr>
          <w:szCs w:val="24"/>
        </w:rPr>
        <w:t>.</w:t>
      </w:r>
      <w:r w:rsidR="00833DFE">
        <w:rPr>
          <w:szCs w:val="24"/>
        </w:rPr>
        <w:t xml:space="preserve">  </w:t>
      </w:r>
    </w:p>
    <w:p w14:paraId="2FED9FE4" w14:textId="77777777" w:rsidR="00F23588" w:rsidRDefault="00F23588" w:rsidP="001C763C">
      <w:pPr>
        <w:rPr>
          <w:szCs w:val="24"/>
        </w:rPr>
      </w:pPr>
    </w:p>
    <w:p w14:paraId="1885990A" w14:textId="7B881DD6" w:rsidR="00833DFE" w:rsidRDefault="009C7A37" w:rsidP="001C763C">
      <w:r>
        <w:rPr>
          <w:szCs w:val="24"/>
        </w:rPr>
        <w:t xml:space="preserve">Recharged water seeps into the underlying alluvial groundwater aquifers and migrates back towards the Platte River over time, eventually emerging as lagged baseflow accretions (return flows).  Unit </w:t>
      </w:r>
      <w:r w:rsidR="004609FF">
        <w:t>response functions</w:t>
      </w:r>
      <w:r>
        <w:t xml:space="preserve"> (URFs) derived from numerical groundwater models</w:t>
      </w:r>
      <w:r w:rsidR="004609FF">
        <w:t xml:space="preserve"> are used to simulate the migration of water through the alluvial aquifer</w:t>
      </w:r>
      <w:r w:rsidR="007F15C8">
        <w:t xml:space="preserve"> in order to estimate the timing and amount</w:t>
      </w:r>
      <w:r w:rsidR="00833DFE">
        <w:t>s</w:t>
      </w:r>
      <w:r w:rsidR="007F15C8">
        <w:t xml:space="preserve"> of accretions</w:t>
      </w:r>
      <w:r w:rsidR="004609FF">
        <w:t xml:space="preserve">.  </w:t>
      </w:r>
    </w:p>
    <w:p w14:paraId="5D00F6A2" w14:textId="77777777" w:rsidR="00833DFE" w:rsidRDefault="00833DFE" w:rsidP="001C763C"/>
    <w:p w14:paraId="4A4E8AD8" w14:textId="48C337AE" w:rsidR="008F57D4" w:rsidRDefault="004609FF" w:rsidP="001C763C">
      <w:pPr>
        <w:rPr>
          <w:szCs w:val="24"/>
        </w:rPr>
      </w:pPr>
      <w:r>
        <w:rPr>
          <w:szCs w:val="24"/>
        </w:rPr>
        <w:t xml:space="preserve">Once the </w:t>
      </w:r>
      <w:r w:rsidR="00D85215">
        <w:rPr>
          <w:szCs w:val="24"/>
        </w:rPr>
        <w:t>lagged accretions</w:t>
      </w:r>
      <w:r>
        <w:rPr>
          <w:szCs w:val="24"/>
        </w:rPr>
        <w:t xml:space="preserve"> from intentional groundwater recharge are calculated, transit loss</w:t>
      </w:r>
      <w:r w:rsidR="008F57D4">
        <w:rPr>
          <w:szCs w:val="24"/>
        </w:rPr>
        <w:t>es</w:t>
      </w:r>
      <w:r w:rsidR="00833DFE">
        <w:rPr>
          <w:rStyle w:val="FootnoteReference"/>
          <w:szCs w:val="24"/>
        </w:rPr>
        <w:footnoteReference w:id="4"/>
      </w:r>
      <w:r>
        <w:rPr>
          <w:szCs w:val="24"/>
        </w:rPr>
        <w:t xml:space="preserve"> </w:t>
      </w:r>
      <w:r w:rsidR="00D85215">
        <w:rPr>
          <w:szCs w:val="24"/>
        </w:rPr>
        <w:t xml:space="preserve">are </w:t>
      </w:r>
      <w:r w:rsidR="008F57D4">
        <w:rPr>
          <w:szCs w:val="24"/>
        </w:rPr>
        <w:t>applied</w:t>
      </w:r>
      <w:r w:rsidR="00D85215">
        <w:rPr>
          <w:szCs w:val="24"/>
        </w:rPr>
        <w:t xml:space="preserve"> to route this water from the point or reach of return to Grand Island.  Transit loss rates</w:t>
      </w:r>
      <w:r>
        <w:rPr>
          <w:szCs w:val="24"/>
        </w:rPr>
        <w:t xml:space="preserve"> are a </w:t>
      </w:r>
      <w:r w:rsidR="00D85215">
        <w:rPr>
          <w:szCs w:val="24"/>
        </w:rPr>
        <w:t>function</w:t>
      </w:r>
      <w:r>
        <w:rPr>
          <w:szCs w:val="24"/>
        </w:rPr>
        <w:t xml:space="preserve"> of the real-time hydrologic condition, </w:t>
      </w:r>
      <w:r w:rsidR="008F57D4">
        <w:rPr>
          <w:szCs w:val="24"/>
        </w:rPr>
        <w:t>month of the year,</w:t>
      </w:r>
      <w:r>
        <w:rPr>
          <w:szCs w:val="24"/>
        </w:rPr>
        <w:t xml:space="preserve"> and the distance the water travels in the river to reach Grand Island.  After the volume reaching Grand Island is calculated, it is checked against flow records to estimate the amount to be credited as shortage reductions at times when streamflows are below target flows.</w:t>
      </w:r>
    </w:p>
    <w:p w14:paraId="3F263FB8" w14:textId="77777777" w:rsidR="008F57D4" w:rsidRDefault="008F57D4" w:rsidP="001C763C">
      <w:pPr>
        <w:rPr>
          <w:szCs w:val="24"/>
        </w:rPr>
      </w:pPr>
    </w:p>
    <w:p w14:paraId="7CFF61FF" w14:textId="77D404EC" w:rsidR="008176B9" w:rsidRDefault="00CB37D1" w:rsidP="001C763C">
      <w:pPr>
        <w:rPr>
          <w:b/>
        </w:rPr>
      </w:pPr>
      <w:r>
        <w:rPr>
          <w:szCs w:val="24"/>
        </w:rPr>
        <w:t xml:space="preserve">Except for limited recharge recapture pumping, the Program has no operational control over the timing of baseflow accretions after diversions are made.  Still, the total volume of accretions reaching Grand Island is of significance in the accounting analyses because groundwater recharge projects provide ongoing benefits to the river by consistently increasing baseflows as recharged water slowly returns to the river.  </w:t>
      </w:r>
      <w:r w:rsidR="002D033C">
        <w:t xml:space="preserve">The following sections summarize the operations and accounting </w:t>
      </w:r>
      <w:r w:rsidR="008F57D4">
        <w:t>for the</w:t>
      </w:r>
      <w:r w:rsidR="002D033C">
        <w:t xml:space="preserve"> Tamarack I project in Colorado</w:t>
      </w:r>
      <w:r w:rsidR="008F57D4">
        <w:t xml:space="preserve"> and the WAP groundwater recharge projects in central Nebraska</w:t>
      </w:r>
      <w:r w:rsidR="002D033C">
        <w:t>.</w:t>
      </w:r>
    </w:p>
    <w:p w14:paraId="704698F9" w14:textId="58A9967F" w:rsidR="00494FEF" w:rsidRDefault="00494FEF" w:rsidP="00B9798C">
      <w:pPr>
        <w:pStyle w:val="ListParagraph"/>
        <w:numPr>
          <w:ilvl w:val="0"/>
          <w:numId w:val="4"/>
        </w:numPr>
        <w:spacing w:before="240" w:after="240"/>
        <w:rPr>
          <w:b/>
        </w:rPr>
      </w:pPr>
      <w:r>
        <w:rPr>
          <w:b/>
        </w:rPr>
        <w:lastRenderedPageBreak/>
        <w:t>Tamarack I</w:t>
      </w:r>
    </w:p>
    <w:p w14:paraId="457CE49B" w14:textId="2460CD4B" w:rsidR="00255869" w:rsidRDefault="00255869" w:rsidP="001C763C">
      <w:r>
        <w:t>The Tamarack I groundwater recharge project</w:t>
      </w:r>
      <w:r w:rsidR="00996D42">
        <w:t xml:space="preserve"> </w:t>
      </w:r>
      <w:r>
        <w:t xml:space="preserve">is Colorado’s contribution to the </w:t>
      </w:r>
      <w:r w:rsidR="00CE638D">
        <w:t xml:space="preserve">Program’s three </w:t>
      </w:r>
      <w:r>
        <w:t>initial state</w:t>
      </w:r>
      <w:r w:rsidR="00CE638D">
        <w:t xml:space="preserve"> water</w:t>
      </w:r>
      <w:r>
        <w:t xml:space="preserve"> projects.  </w:t>
      </w:r>
      <w:r w:rsidRPr="00255869">
        <w:t xml:space="preserve">Located along the last 35 miles of the South Platte River upstream of the Colorado-Nebraska state line, Tamarack I </w:t>
      </w:r>
      <w:proofErr w:type="gramStart"/>
      <w:r w:rsidRPr="00255869">
        <w:t>diverts</w:t>
      </w:r>
      <w:proofErr w:type="gramEnd"/>
      <w:r w:rsidRPr="00255869">
        <w:t xml:space="preserve"> from the river to recharge ponds when there are flows in excess of USFWS targets at Grand Island and there is simultaneously no call on the South Platte River in Colorado. The sandy soils of northeastern Colorado </w:t>
      </w:r>
      <w:r w:rsidR="000551A3">
        <w:t xml:space="preserve">and </w:t>
      </w:r>
      <w:r w:rsidR="00673CD5">
        <w:t xml:space="preserve">large groundwater depth </w:t>
      </w:r>
      <w:r w:rsidRPr="00255869">
        <w:t>allow the ponded water to seep into the underlying alluvial aquifer and migrate back to the South Platte River at rates that are much higher than other Program recharge projects in central Nebraska.</w:t>
      </w:r>
      <w:r w:rsidR="00602621">
        <w:t xml:space="preserve">  The Tamarack I project is funded by Colorado water users</w:t>
      </w:r>
      <w:r w:rsidR="006D67AF">
        <w:t xml:space="preserve"> in the South Platte Basin</w:t>
      </w:r>
      <w:r w:rsidR="00602621">
        <w:t xml:space="preserve"> through the South Platte </w:t>
      </w:r>
      <w:r w:rsidR="00A11CF6">
        <w:t>Water-Related Activities Program (SPWRAP), and shortage reductions are credited at no cost to the Program.</w:t>
      </w:r>
    </w:p>
    <w:p w14:paraId="30B08F1D" w14:textId="77777777" w:rsidR="001C763C" w:rsidRDefault="001C763C" w:rsidP="001C763C"/>
    <w:p w14:paraId="524A647C" w14:textId="30A87CA8" w:rsidR="009B0BD1" w:rsidRDefault="00255869" w:rsidP="001C763C">
      <w:r w:rsidRPr="003F34B8">
        <w:t xml:space="preserve">Tamarack I </w:t>
      </w:r>
      <w:proofErr w:type="gramStart"/>
      <w:r w:rsidRPr="003F34B8">
        <w:t>includes</w:t>
      </w:r>
      <w:proofErr w:type="gramEnd"/>
      <w:r w:rsidRPr="003F34B8">
        <w:t xml:space="preserve"> 16 dedicated riverside wells at the Tamarack State Wildlife Area near Crook, Colorado and the Heyborne project lift station between Ovid and Julesburg. Together, these dedicated projects deliver water to 10 recharge ponds</w:t>
      </w:r>
      <w:r w:rsidR="009B0BD1">
        <w:t>.  I</w:t>
      </w:r>
      <w:r w:rsidRPr="003F34B8">
        <w:t xml:space="preserve">n addition, </w:t>
      </w:r>
      <w:r w:rsidR="00F8286E">
        <w:t xml:space="preserve">Tamarack I </w:t>
      </w:r>
      <w:proofErr w:type="gramStart"/>
      <w:r w:rsidR="00F8286E">
        <w:t>leases</w:t>
      </w:r>
      <w:proofErr w:type="gramEnd"/>
      <w:r w:rsidR="00F8286E">
        <w:t xml:space="preserve"> </w:t>
      </w:r>
      <w:r w:rsidRPr="003F34B8">
        <w:t>recharge</w:t>
      </w:r>
      <w:r w:rsidR="003F34B8" w:rsidRPr="003F34B8">
        <w:t xml:space="preserve"> credits from 10 private wells and from the Peters</w:t>
      </w:r>
      <w:r w:rsidR="00CB1E89">
        <w:t>o</w:t>
      </w:r>
      <w:r w:rsidR="003F34B8" w:rsidRPr="003F34B8">
        <w:t>n and Settler</w:t>
      </w:r>
      <w:r w:rsidR="00CB1E89">
        <w:t>s</w:t>
      </w:r>
      <w:r w:rsidR="003F34B8" w:rsidRPr="003F34B8">
        <w:t xml:space="preserve"> </w:t>
      </w:r>
      <w:r w:rsidR="00CB1E89">
        <w:t>ditches</w:t>
      </w:r>
      <w:r w:rsidR="003F34B8" w:rsidRPr="003F34B8">
        <w:t xml:space="preserve"> near Julesburg, which deliver water to about 60 recharge ponds. About 40% of Tamarack I recharge credits are attributable to dedicated projects and 60% to private recharge projects</w:t>
      </w:r>
      <w:r w:rsidR="003F34B8">
        <w:t>.</w:t>
      </w:r>
      <w:r w:rsidR="00F8286E">
        <w:t xml:space="preserve">  </w:t>
      </w:r>
    </w:p>
    <w:p w14:paraId="4AC31305" w14:textId="77777777" w:rsidR="001C763C" w:rsidRDefault="001C763C" w:rsidP="001C763C"/>
    <w:p w14:paraId="62D1EB88" w14:textId="6F55BD77" w:rsidR="009B0BD1" w:rsidRDefault="009B0BD1" w:rsidP="001C763C">
      <w:r>
        <w:t xml:space="preserve">Six of the dedicated wells were damaged during flooding in 2015 and remained out of commission for several years.  Two wells had damage to stairways used to access the platforms upon which the well pumps and motors are mounted.  These were repaired and resumed operation during the 2020-2021 non-irrigation season.  The other four wells had severely damaged buried pipelines.  These were finally repaired and fully operational </w:t>
      </w:r>
      <w:r w:rsidR="00B066DA">
        <w:t>as of</w:t>
      </w:r>
      <w:r>
        <w:t xml:space="preserve"> March 2021.  All 16 wells will be operational for 2021-2022 recharge</w:t>
      </w:r>
      <w:r>
        <w:rPr>
          <w:rStyle w:val="FootnoteReference"/>
          <w:szCs w:val="24"/>
        </w:rPr>
        <w:footnoteReference w:id="5"/>
      </w:r>
      <w:r w:rsidR="001C763C">
        <w:t>.</w:t>
      </w:r>
      <w:r w:rsidRPr="003F34B8">
        <w:t xml:space="preserve">  </w:t>
      </w:r>
    </w:p>
    <w:p w14:paraId="091F0228" w14:textId="77777777" w:rsidR="001C763C" w:rsidRDefault="001C763C" w:rsidP="001C763C"/>
    <w:p w14:paraId="1D236CEC" w14:textId="75A88DE0" w:rsidR="006D67AF" w:rsidRPr="00F8286E" w:rsidRDefault="00766FFF" w:rsidP="001C763C">
      <w:r>
        <w:t xml:space="preserve">Colorado submits a Tamarack I report to the Program each year, including monthly and annual accounting of credits for shortage reduction, as calculated at the Colorado-Nebraska state line.  </w:t>
      </w:r>
      <w:r w:rsidR="003F34B8" w:rsidRPr="003F34B8">
        <w:t xml:space="preserve">Diversions to Tamarack I facilities are </w:t>
      </w:r>
      <w:r w:rsidR="00635B89">
        <w:t xml:space="preserve">typically </w:t>
      </w:r>
      <w:r w:rsidR="009D0654">
        <w:t>greatest</w:t>
      </w:r>
      <w:r w:rsidR="009D0654" w:rsidRPr="003F34B8">
        <w:t xml:space="preserve"> </w:t>
      </w:r>
      <w:r w:rsidR="003F34B8" w:rsidRPr="003F34B8">
        <w:t>in December and January, and most credits for shortage reductions occur between February and May.</w:t>
      </w:r>
      <w:r w:rsidR="00253548">
        <w:t xml:space="preserve">  </w:t>
      </w:r>
      <w:r w:rsidR="00253548" w:rsidRPr="001D46DC">
        <w:rPr>
          <w:b/>
        </w:rPr>
        <w:t xml:space="preserve">Table </w:t>
      </w:r>
      <w:r w:rsidR="003147A4">
        <w:rPr>
          <w:b/>
        </w:rPr>
        <w:t>2</w:t>
      </w:r>
      <w:r w:rsidR="00E27C8F">
        <w:t xml:space="preserve"> </w:t>
      </w:r>
      <w:r w:rsidR="00253548">
        <w:t>summarizes Tamarack I operation</w:t>
      </w:r>
      <w:r w:rsidR="0026776D">
        <w:t>s</w:t>
      </w:r>
      <w:r w:rsidR="00253548">
        <w:t xml:space="preserve"> accounting since</w:t>
      </w:r>
      <w:r w:rsidR="001D46DC">
        <w:t xml:space="preserve"> the Program began in</w:t>
      </w:r>
      <w:r w:rsidR="00253548">
        <w:t xml:space="preserve"> 2007.</w:t>
      </w:r>
      <w:r w:rsidR="00635B89">
        <w:t xml:space="preserve">  </w:t>
      </w:r>
      <w:r w:rsidR="00585888">
        <w:t>Colorado’s annual report tabulates credits for shortage reduction at the state line; the EDO takes the next step of routing those credits to Grand Island by applying factors derived from the WMC Loss Model.</w:t>
      </w:r>
      <w:r w:rsidR="006D67AF">
        <w:rPr>
          <w:b/>
          <w:sz w:val="22"/>
        </w:rPr>
        <w:br w:type="page"/>
      </w:r>
    </w:p>
    <w:p w14:paraId="759F03B9" w14:textId="268D94B1" w:rsidR="00255869" w:rsidRPr="0069660B" w:rsidRDefault="00255869" w:rsidP="00255869">
      <w:pPr>
        <w:rPr>
          <w:b/>
          <w:sz w:val="22"/>
        </w:rPr>
      </w:pPr>
      <w:r w:rsidRPr="0069660B">
        <w:rPr>
          <w:b/>
          <w:sz w:val="22"/>
        </w:rPr>
        <w:lastRenderedPageBreak/>
        <w:t xml:space="preserve">Table </w:t>
      </w:r>
      <w:r w:rsidR="003147A4">
        <w:rPr>
          <w:b/>
          <w:sz w:val="22"/>
        </w:rPr>
        <w:t>2</w:t>
      </w:r>
      <w:r w:rsidR="00330C32">
        <w:rPr>
          <w:b/>
          <w:sz w:val="22"/>
        </w:rPr>
        <w:t>.</w:t>
      </w:r>
      <w:r w:rsidRPr="0069660B">
        <w:rPr>
          <w:b/>
          <w:sz w:val="22"/>
        </w:rPr>
        <w:t xml:space="preserve"> Tamarack I </w:t>
      </w:r>
      <w:r w:rsidR="007B7792">
        <w:rPr>
          <w:b/>
          <w:sz w:val="22"/>
        </w:rPr>
        <w:t xml:space="preserve">Operations </w:t>
      </w:r>
      <w:r w:rsidRPr="0069660B">
        <w:rPr>
          <w:b/>
          <w:sz w:val="22"/>
        </w:rPr>
        <w:t>Accounting (values in AF, rounded to the nearest 10</w:t>
      </w:r>
      <w:r w:rsidR="00CD4EFA">
        <w:rPr>
          <w:b/>
          <w:sz w:val="22"/>
        </w:rPr>
        <w:t>0</w:t>
      </w:r>
      <w:r w:rsidRPr="0069660B">
        <w:rPr>
          <w:b/>
          <w:sz w:val="22"/>
        </w:rPr>
        <w:t>)</w:t>
      </w:r>
    </w:p>
    <w:tbl>
      <w:tblPr>
        <w:tblStyle w:val="TableGrid"/>
        <w:tblW w:w="0" w:type="auto"/>
        <w:tblLook w:val="04A0" w:firstRow="1" w:lastRow="0" w:firstColumn="1" w:lastColumn="0" w:noHBand="0" w:noVBand="1"/>
      </w:tblPr>
      <w:tblGrid>
        <w:gridCol w:w="1558"/>
        <w:gridCol w:w="1558"/>
        <w:gridCol w:w="1559"/>
        <w:gridCol w:w="1558"/>
        <w:gridCol w:w="1558"/>
        <w:gridCol w:w="1559"/>
      </w:tblGrid>
      <w:tr w:rsidR="004C2314" w:rsidRPr="0069660B" w14:paraId="3D392B47" w14:textId="77777777" w:rsidTr="004C2314">
        <w:tc>
          <w:tcPr>
            <w:tcW w:w="1558" w:type="dxa"/>
            <w:tcBorders>
              <w:top w:val="single" w:sz="4" w:space="0" w:color="auto"/>
              <w:left w:val="single" w:sz="4" w:space="0" w:color="auto"/>
              <w:bottom w:val="single" w:sz="4" w:space="0" w:color="auto"/>
              <w:right w:val="single" w:sz="4" w:space="0" w:color="auto"/>
            </w:tcBorders>
            <w:shd w:val="clear" w:color="auto" w:fill="C2D69B" w:themeFill="accent3" w:themeFillTint="99"/>
            <w:vAlign w:val="bottom"/>
            <w:hideMark/>
          </w:tcPr>
          <w:p w14:paraId="705EC71E" w14:textId="65DD2A23" w:rsidR="004C2314" w:rsidRPr="0069660B" w:rsidRDefault="004C2314" w:rsidP="00DF15A3">
            <w:pPr>
              <w:jc w:val="center"/>
              <w:rPr>
                <w:sz w:val="22"/>
              </w:rPr>
            </w:pPr>
            <w:r w:rsidRPr="0069660B">
              <w:rPr>
                <w:b/>
                <w:bCs/>
                <w:sz w:val="22"/>
              </w:rPr>
              <w:t>Irrigation Year</w:t>
            </w:r>
            <w:r w:rsidR="0037038C" w:rsidRPr="0037038C">
              <w:rPr>
                <w:b/>
                <w:bCs/>
                <w:sz w:val="22"/>
                <w:vertAlign w:val="superscript"/>
              </w:rPr>
              <w:t>1</w:t>
            </w:r>
          </w:p>
        </w:tc>
        <w:tc>
          <w:tcPr>
            <w:tcW w:w="1558" w:type="dxa"/>
            <w:tcBorders>
              <w:top w:val="single" w:sz="4" w:space="0" w:color="auto"/>
              <w:left w:val="single" w:sz="4" w:space="0" w:color="auto"/>
              <w:bottom w:val="single" w:sz="4" w:space="0" w:color="auto"/>
              <w:right w:val="single" w:sz="4" w:space="0" w:color="auto"/>
            </w:tcBorders>
            <w:shd w:val="clear" w:color="auto" w:fill="C2D69B" w:themeFill="accent3" w:themeFillTint="99"/>
            <w:vAlign w:val="bottom"/>
            <w:hideMark/>
          </w:tcPr>
          <w:p w14:paraId="50F1F985" w14:textId="77777777" w:rsidR="004C2314" w:rsidRDefault="004C2314" w:rsidP="00DF15A3">
            <w:pPr>
              <w:jc w:val="center"/>
              <w:rPr>
                <w:b/>
                <w:bCs/>
                <w:sz w:val="22"/>
              </w:rPr>
            </w:pPr>
            <w:r w:rsidRPr="0069660B">
              <w:rPr>
                <w:b/>
                <w:bCs/>
                <w:sz w:val="22"/>
              </w:rPr>
              <w:t>Tamarack I Net Diversions</w:t>
            </w:r>
            <w:r>
              <w:rPr>
                <w:b/>
                <w:bCs/>
                <w:sz w:val="22"/>
              </w:rPr>
              <w:t xml:space="preserve"> in Reach </w:t>
            </w:r>
          </w:p>
          <w:p w14:paraId="7F09ADED" w14:textId="7CC24CCC" w:rsidR="004C2314" w:rsidRPr="004C2314" w:rsidRDefault="004C2314" w:rsidP="004C2314">
            <w:pPr>
              <w:jc w:val="center"/>
              <w:rPr>
                <w:b/>
                <w:bCs/>
                <w:sz w:val="22"/>
              </w:rPr>
            </w:pPr>
            <w:r>
              <w:rPr>
                <w:b/>
                <w:bCs/>
                <w:sz w:val="22"/>
              </w:rPr>
              <w:t xml:space="preserve">(Gross-Evap) </w:t>
            </w:r>
          </w:p>
        </w:tc>
        <w:tc>
          <w:tcPr>
            <w:tcW w:w="1559" w:type="dxa"/>
            <w:tcBorders>
              <w:top w:val="single" w:sz="4" w:space="0" w:color="auto"/>
              <w:left w:val="single" w:sz="4" w:space="0" w:color="auto"/>
              <w:bottom w:val="single" w:sz="4" w:space="0" w:color="auto"/>
              <w:right w:val="single" w:sz="4" w:space="0" w:color="auto"/>
            </w:tcBorders>
            <w:shd w:val="clear" w:color="auto" w:fill="C2D69B" w:themeFill="accent3" w:themeFillTint="99"/>
            <w:vAlign w:val="bottom"/>
          </w:tcPr>
          <w:p w14:paraId="4419E1ED" w14:textId="5CBB90C3" w:rsidR="004C2314" w:rsidRPr="0069660B" w:rsidRDefault="004C2314" w:rsidP="004C2314">
            <w:pPr>
              <w:jc w:val="center"/>
              <w:rPr>
                <w:b/>
                <w:bCs/>
                <w:sz w:val="22"/>
              </w:rPr>
            </w:pPr>
            <w:r>
              <w:rPr>
                <w:b/>
                <w:bCs/>
                <w:sz w:val="22"/>
              </w:rPr>
              <w:t>Tamarack I Total Accretions in Reach</w:t>
            </w:r>
          </w:p>
        </w:tc>
        <w:tc>
          <w:tcPr>
            <w:tcW w:w="1558" w:type="dxa"/>
            <w:tcBorders>
              <w:top w:val="single" w:sz="4" w:space="0" w:color="auto"/>
              <w:left w:val="single" w:sz="4" w:space="0" w:color="auto"/>
              <w:bottom w:val="single" w:sz="4" w:space="0" w:color="auto"/>
              <w:right w:val="single" w:sz="4" w:space="0" w:color="auto"/>
            </w:tcBorders>
            <w:shd w:val="clear" w:color="auto" w:fill="C2D69B" w:themeFill="accent3" w:themeFillTint="99"/>
            <w:vAlign w:val="bottom"/>
            <w:hideMark/>
          </w:tcPr>
          <w:p w14:paraId="316249D2" w14:textId="6CD8614E" w:rsidR="004C2314" w:rsidRPr="0069660B" w:rsidRDefault="004C2314" w:rsidP="00DF15A3">
            <w:pPr>
              <w:jc w:val="center"/>
              <w:rPr>
                <w:b/>
                <w:bCs/>
                <w:sz w:val="22"/>
              </w:rPr>
            </w:pPr>
            <w:r w:rsidRPr="0069660B">
              <w:rPr>
                <w:b/>
                <w:bCs/>
                <w:sz w:val="22"/>
              </w:rPr>
              <w:t>Tamarack I Total Accretions at State Line</w:t>
            </w:r>
          </w:p>
        </w:tc>
        <w:tc>
          <w:tcPr>
            <w:tcW w:w="1558" w:type="dxa"/>
            <w:tcBorders>
              <w:top w:val="single" w:sz="4" w:space="0" w:color="auto"/>
              <w:left w:val="single" w:sz="4" w:space="0" w:color="auto"/>
              <w:bottom w:val="single" w:sz="4" w:space="0" w:color="auto"/>
              <w:right w:val="single" w:sz="4" w:space="0" w:color="auto"/>
            </w:tcBorders>
            <w:shd w:val="clear" w:color="auto" w:fill="C2D69B" w:themeFill="accent3" w:themeFillTint="99"/>
            <w:vAlign w:val="bottom"/>
            <w:hideMark/>
          </w:tcPr>
          <w:p w14:paraId="22B6C659" w14:textId="245F999D" w:rsidR="004C2314" w:rsidRPr="0069660B" w:rsidRDefault="004C2314" w:rsidP="00DF15A3">
            <w:pPr>
              <w:jc w:val="center"/>
              <w:rPr>
                <w:sz w:val="22"/>
              </w:rPr>
            </w:pPr>
            <w:r w:rsidRPr="0069660B">
              <w:rPr>
                <w:b/>
                <w:bCs/>
                <w:sz w:val="22"/>
              </w:rPr>
              <w:t>Tamarack I Credits for Shortage Reduction at State Line</w:t>
            </w:r>
          </w:p>
        </w:tc>
        <w:tc>
          <w:tcPr>
            <w:tcW w:w="1559" w:type="dxa"/>
            <w:tcBorders>
              <w:top w:val="single" w:sz="4" w:space="0" w:color="auto"/>
              <w:left w:val="single" w:sz="4" w:space="0" w:color="auto"/>
              <w:bottom w:val="single" w:sz="4" w:space="0" w:color="auto"/>
              <w:right w:val="single" w:sz="4" w:space="0" w:color="auto"/>
            </w:tcBorders>
            <w:shd w:val="clear" w:color="auto" w:fill="C2D69B" w:themeFill="accent3" w:themeFillTint="99"/>
            <w:vAlign w:val="bottom"/>
            <w:hideMark/>
          </w:tcPr>
          <w:p w14:paraId="58E3FBA1" w14:textId="737CD992" w:rsidR="004C2314" w:rsidRPr="0069660B" w:rsidRDefault="004C2314" w:rsidP="00DF15A3">
            <w:pPr>
              <w:jc w:val="center"/>
              <w:rPr>
                <w:b/>
                <w:bCs/>
                <w:sz w:val="22"/>
              </w:rPr>
            </w:pPr>
            <w:r w:rsidRPr="0069660B">
              <w:rPr>
                <w:b/>
                <w:bCs/>
                <w:sz w:val="22"/>
              </w:rPr>
              <w:t>Tamarack I</w:t>
            </w:r>
            <w:r w:rsidR="00433834">
              <w:rPr>
                <w:b/>
                <w:bCs/>
                <w:sz w:val="22"/>
              </w:rPr>
              <w:t xml:space="preserve"> Shortage Reduction</w:t>
            </w:r>
            <w:r w:rsidRPr="0069660B">
              <w:rPr>
                <w:b/>
                <w:bCs/>
                <w:sz w:val="22"/>
              </w:rPr>
              <w:t xml:space="preserve"> Credits </w:t>
            </w:r>
            <w:r w:rsidR="0037038C">
              <w:rPr>
                <w:b/>
                <w:bCs/>
                <w:sz w:val="22"/>
              </w:rPr>
              <w:t xml:space="preserve">Reaching </w:t>
            </w:r>
            <w:r w:rsidRPr="0069660B">
              <w:rPr>
                <w:b/>
                <w:bCs/>
                <w:sz w:val="22"/>
              </w:rPr>
              <w:t>Grand Island</w:t>
            </w:r>
          </w:p>
        </w:tc>
      </w:tr>
      <w:tr w:rsidR="00CD4EFA" w:rsidRPr="0069660B" w14:paraId="00BBD578" w14:textId="77777777" w:rsidTr="0037038C">
        <w:trPr>
          <w:trHeight w:val="288"/>
        </w:trPr>
        <w:tc>
          <w:tcPr>
            <w:tcW w:w="1558" w:type="dxa"/>
            <w:tcBorders>
              <w:top w:val="single" w:sz="4" w:space="0" w:color="auto"/>
              <w:left w:val="single" w:sz="4" w:space="0" w:color="auto"/>
              <w:bottom w:val="single" w:sz="4" w:space="0" w:color="auto"/>
              <w:right w:val="single" w:sz="4" w:space="0" w:color="auto"/>
            </w:tcBorders>
            <w:vAlign w:val="center"/>
            <w:hideMark/>
          </w:tcPr>
          <w:p w14:paraId="553E09D3" w14:textId="77777777" w:rsidR="00CD4EFA" w:rsidRPr="0069660B" w:rsidRDefault="00CD4EFA" w:rsidP="00CD4EFA">
            <w:pPr>
              <w:jc w:val="center"/>
              <w:rPr>
                <w:sz w:val="22"/>
              </w:rPr>
            </w:pPr>
            <w:r w:rsidRPr="0069660B">
              <w:rPr>
                <w:sz w:val="22"/>
              </w:rPr>
              <w:t>2007</w:t>
            </w:r>
          </w:p>
        </w:tc>
        <w:tc>
          <w:tcPr>
            <w:tcW w:w="1558" w:type="dxa"/>
            <w:tcBorders>
              <w:top w:val="single" w:sz="4" w:space="0" w:color="auto"/>
              <w:left w:val="single" w:sz="4" w:space="0" w:color="auto"/>
              <w:bottom w:val="single" w:sz="4" w:space="0" w:color="auto"/>
              <w:right w:val="single" w:sz="4" w:space="0" w:color="auto"/>
            </w:tcBorders>
            <w:vAlign w:val="center"/>
          </w:tcPr>
          <w:p w14:paraId="480BC4FC" w14:textId="569ECEC1" w:rsidR="00CD4EFA" w:rsidRPr="0037038C" w:rsidRDefault="00CD4EFA" w:rsidP="00CD4EFA">
            <w:pPr>
              <w:jc w:val="center"/>
              <w:rPr>
                <w:sz w:val="22"/>
              </w:rPr>
            </w:pPr>
            <w:r>
              <w:rPr>
                <w:color w:val="000000"/>
                <w:sz w:val="22"/>
              </w:rPr>
              <w:t>16,300</w:t>
            </w:r>
          </w:p>
        </w:tc>
        <w:tc>
          <w:tcPr>
            <w:tcW w:w="1559" w:type="dxa"/>
            <w:tcBorders>
              <w:top w:val="single" w:sz="4" w:space="0" w:color="auto"/>
              <w:left w:val="single" w:sz="4" w:space="0" w:color="auto"/>
              <w:bottom w:val="single" w:sz="4" w:space="0" w:color="auto"/>
              <w:right w:val="single" w:sz="4" w:space="0" w:color="auto"/>
            </w:tcBorders>
            <w:vAlign w:val="center"/>
          </w:tcPr>
          <w:p w14:paraId="19E2D32D" w14:textId="1E61DCD3" w:rsidR="00CD4EFA" w:rsidRPr="0037038C" w:rsidRDefault="00CD4EFA" w:rsidP="00CD4EFA">
            <w:pPr>
              <w:jc w:val="center"/>
              <w:rPr>
                <w:sz w:val="22"/>
              </w:rPr>
            </w:pPr>
            <w:r>
              <w:rPr>
                <w:color w:val="000000"/>
                <w:sz w:val="22"/>
              </w:rPr>
              <w:t>12,600</w:t>
            </w:r>
          </w:p>
        </w:tc>
        <w:tc>
          <w:tcPr>
            <w:tcW w:w="1558" w:type="dxa"/>
            <w:tcBorders>
              <w:top w:val="single" w:sz="4" w:space="0" w:color="auto"/>
              <w:left w:val="single" w:sz="4" w:space="0" w:color="auto"/>
              <w:bottom w:val="single" w:sz="4" w:space="0" w:color="auto"/>
              <w:right w:val="single" w:sz="4" w:space="0" w:color="auto"/>
            </w:tcBorders>
            <w:vAlign w:val="center"/>
          </w:tcPr>
          <w:p w14:paraId="0690CF84" w14:textId="4FC10552" w:rsidR="00CD4EFA" w:rsidRPr="0037038C" w:rsidRDefault="00CD4EFA" w:rsidP="00CD4EFA">
            <w:pPr>
              <w:jc w:val="center"/>
              <w:rPr>
                <w:sz w:val="22"/>
              </w:rPr>
            </w:pPr>
            <w:r>
              <w:rPr>
                <w:color w:val="000000"/>
                <w:sz w:val="22"/>
              </w:rPr>
              <w:t>4,100</w:t>
            </w:r>
          </w:p>
        </w:tc>
        <w:tc>
          <w:tcPr>
            <w:tcW w:w="1558" w:type="dxa"/>
            <w:tcBorders>
              <w:top w:val="single" w:sz="4" w:space="0" w:color="auto"/>
              <w:left w:val="single" w:sz="4" w:space="0" w:color="auto"/>
              <w:bottom w:val="single" w:sz="4" w:space="0" w:color="auto"/>
              <w:right w:val="single" w:sz="4" w:space="0" w:color="auto"/>
            </w:tcBorders>
            <w:vAlign w:val="center"/>
          </w:tcPr>
          <w:p w14:paraId="7C75B7DE" w14:textId="0794433A" w:rsidR="00CD4EFA" w:rsidRPr="0037038C" w:rsidRDefault="00CD4EFA" w:rsidP="00CD4EFA">
            <w:pPr>
              <w:jc w:val="center"/>
              <w:rPr>
                <w:sz w:val="22"/>
              </w:rPr>
            </w:pPr>
            <w:r>
              <w:rPr>
                <w:color w:val="000000"/>
                <w:sz w:val="22"/>
              </w:rPr>
              <w:t>3,300</w:t>
            </w:r>
          </w:p>
        </w:tc>
        <w:tc>
          <w:tcPr>
            <w:tcW w:w="1559" w:type="dxa"/>
            <w:tcBorders>
              <w:top w:val="single" w:sz="4" w:space="0" w:color="auto"/>
              <w:left w:val="single" w:sz="4" w:space="0" w:color="auto"/>
              <w:bottom w:val="single" w:sz="4" w:space="0" w:color="auto"/>
              <w:right w:val="single" w:sz="4" w:space="0" w:color="auto"/>
            </w:tcBorders>
            <w:vAlign w:val="center"/>
          </w:tcPr>
          <w:p w14:paraId="4B1BB356" w14:textId="03B02645" w:rsidR="00CD4EFA" w:rsidRPr="0037038C" w:rsidRDefault="00CD4EFA" w:rsidP="00CD4EFA">
            <w:pPr>
              <w:jc w:val="center"/>
              <w:rPr>
                <w:sz w:val="22"/>
              </w:rPr>
            </w:pPr>
            <w:r>
              <w:rPr>
                <w:color w:val="000000"/>
                <w:sz w:val="22"/>
              </w:rPr>
              <w:t>2,800</w:t>
            </w:r>
          </w:p>
        </w:tc>
      </w:tr>
      <w:tr w:rsidR="00CD4EFA" w:rsidRPr="0069660B" w14:paraId="6BCD5127" w14:textId="77777777" w:rsidTr="0037038C">
        <w:trPr>
          <w:trHeight w:val="288"/>
        </w:trPr>
        <w:tc>
          <w:tcPr>
            <w:tcW w:w="1558" w:type="dxa"/>
            <w:tcBorders>
              <w:top w:val="single" w:sz="4" w:space="0" w:color="auto"/>
              <w:left w:val="single" w:sz="4" w:space="0" w:color="auto"/>
              <w:bottom w:val="single" w:sz="4" w:space="0" w:color="auto"/>
              <w:right w:val="single" w:sz="4" w:space="0" w:color="auto"/>
            </w:tcBorders>
            <w:vAlign w:val="center"/>
            <w:hideMark/>
          </w:tcPr>
          <w:p w14:paraId="40F90D4C" w14:textId="77777777" w:rsidR="00CD4EFA" w:rsidRPr="0069660B" w:rsidRDefault="00CD4EFA" w:rsidP="00CD4EFA">
            <w:pPr>
              <w:jc w:val="center"/>
              <w:rPr>
                <w:sz w:val="22"/>
              </w:rPr>
            </w:pPr>
            <w:r w:rsidRPr="0069660B">
              <w:rPr>
                <w:sz w:val="22"/>
              </w:rPr>
              <w:t>2008</w:t>
            </w:r>
          </w:p>
        </w:tc>
        <w:tc>
          <w:tcPr>
            <w:tcW w:w="1558" w:type="dxa"/>
            <w:tcBorders>
              <w:top w:val="single" w:sz="4" w:space="0" w:color="auto"/>
              <w:left w:val="single" w:sz="4" w:space="0" w:color="auto"/>
              <w:bottom w:val="single" w:sz="4" w:space="0" w:color="auto"/>
              <w:right w:val="single" w:sz="4" w:space="0" w:color="auto"/>
            </w:tcBorders>
            <w:vAlign w:val="center"/>
          </w:tcPr>
          <w:p w14:paraId="2D7FF900" w14:textId="28CB4482" w:rsidR="00CD4EFA" w:rsidRPr="0037038C" w:rsidRDefault="00CD4EFA" w:rsidP="00CD4EFA">
            <w:pPr>
              <w:jc w:val="center"/>
              <w:rPr>
                <w:sz w:val="22"/>
              </w:rPr>
            </w:pPr>
            <w:r>
              <w:rPr>
                <w:color w:val="000000"/>
                <w:sz w:val="22"/>
              </w:rPr>
              <w:t>26,000</w:t>
            </w:r>
          </w:p>
        </w:tc>
        <w:tc>
          <w:tcPr>
            <w:tcW w:w="1559" w:type="dxa"/>
            <w:tcBorders>
              <w:top w:val="single" w:sz="4" w:space="0" w:color="auto"/>
              <w:left w:val="single" w:sz="4" w:space="0" w:color="auto"/>
              <w:bottom w:val="single" w:sz="4" w:space="0" w:color="auto"/>
              <w:right w:val="single" w:sz="4" w:space="0" w:color="auto"/>
            </w:tcBorders>
            <w:vAlign w:val="center"/>
          </w:tcPr>
          <w:p w14:paraId="0AEF5C2C" w14:textId="12EBB462" w:rsidR="00CD4EFA" w:rsidRPr="0037038C" w:rsidRDefault="00CD4EFA" w:rsidP="00CD4EFA">
            <w:pPr>
              <w:jc w:val="center"/>
              <w:rPr>
                <w:sz w:val="22"/>
              </w:rPr>
            </w:pPr>
            <w:r>
              <w:rPr>
                <w:color w:val="000000"/>
                <w:sz w:val="22"/>
              </w:rPr>
              <w:t>21,800</w:t>
            </w:r>
          </w:p>
        </w:tc>
        <w:tc>
          <w:tcPr>
            <w:tcW w:w="1558" w:type="dxa"/>
            <w:tcBorders>
              <w:top w:val="single" w:sz="4" w:space="0" w:color="auto"/>
              <w:left w:val="single" w:sz="4" w:space="0" w:color="auto"/>
              <w:bottom w:val="single" w:sz="4" w:space="0" w:color="auto"/>
              <w:right w:val="single" w:sz="4" w:space="0" w:color="auto"/>
            </w:tcBorders>
            <w:vAlign w:val="center"/>
          </w:tcPr>
          <w:p w14:paraId="21803285" w14:textId="3069B346" w:rsidR="00CD4EFA" w:rsidRPr="0037038C" w:rsidRDefault="00CD4EFA" w:rsidP="00CD4EFA">
            <w:pPr>
              <w:jc w:val="center"/>
              <w:rPr>
                <w:sz w:val="22"/>
              </w:rPr>
            </w:pPr>
            <w:r>
              <w:rPr>
                <w:color w:val="000000"/>
                <w:sz w:val="22"/>
              </w:rPr>
              <w:t>10,900</w:t>
            </w:r>
          </w:p>
        </w:tc>
        <w:tc>
          <w:tcPr>
            <w:tcW w:w="1558" w:type="dxa"/>
            <w:tcBorders>
              <w:top w:val="single" w:sz="4" w:space="0" w:color="auto"/>
              <w:left w:val="single" w:sz="4" w:space="0" w:color="auto"/>
              <w:bottom w:val="single" w:sz="4" w:space="0" w:color="auto"/>
              <w:right w:val="single" w:sz="4" w:space="0" w:color="auto"/>
            </w:tcBorders>
            <w:vAlign w:val="center"/>
          </w:tcPr>
          <w:p w14:paraId="4E1ED0A9" w14:textId="016F9C73" w:rsidR="00CD4EFA" w:rsidRPr="0037038C" w:rsidRDefault="00CD4EFA" w:rsidP="00CD4EFA">
            <w:pPr>
              <w:jc w:val="center"/>
              <w:rPr>
                <w:sz w:val="22"/>
              </w:rPr>
            </w:pPr>
            <w:r>
              <w:rPr>
                <w:color w:val="000000"/>
                <w:sz w:val="22"/>
              </w:rPr>
              <w:t>6,800</w:t>
            </w:r>
          </w:p>
        </w:tc>
        <w:tc>
          <w:tcPr>
            <w:tcW w:w="1559" w:type="dxa"/>
            <w:tcBorders>
              <w:top w:val="single" w:sz="4" w:space="0" w:color="auto"/>
              <w:left w:val="single" w:sz="4" w:space="0" w:color="auto"/>
              <w:bottom w:val="single" w:sz="4" w:space="0" w:color="auto"/>
              <w:right w:val="single" w:sz="4" w:space="0" w:color="auto"/>
            </w:tcBorders>
            <w:vAlign w:val="center"/>
          </w:tcPr>
          <w:p w14:paraId="0F37D404" w14:textId="5365C574" w:rsidR="00CD4EFA" w:rsidRPr="0037038C" w:rsidRDefault="00CD4EFA" w:rsidP="00CD4EFA">
            <w:pPr>
              <w:jc w:val="center"/>
              <w:rPr>
                <w:sz w:val="22"/>
              </w:rPr>
            </w:pPr>
            <w:r>
              <w:rPr>
                <w:color w:val="000000"/>
                <w:sz w:val="22"/>
              </w:rPr>
              <w:t>6,000</w:t>
            </w:r>
          </w:p>
        </w:tc>
      </w:tr>
      <w:tr w:rsidR="00CD4EFA" w:rsidRPr="0069660B" w14:paraId="30266752" w14:textId="77777777" w:rsidTr="0037038C">
        <w:trPr>
          <w:trHeight w:val="288"/>
        </w:trPr>
        <w:tc>
          <w:tcPr>
            <w:tcW w:w="1558" w:type="dxa"/>
            <w:tcBorders>
              <w:top w:val="single" w:sz="4" w:space="0" w:color="auto"/>
              <w:left w:val="single" w:sz="4" w:space="0" w:color="auto"/>
              <w:bottom w:val="single" w:sz="4" w:space="0" w:color="auto"/>
              <w:right w:val="single" w:sz="4" w:space="0" w:color="auto"/>
            </w:tcBorders>
            <w:vAlign w:val="center"/>
            <w:hideMark/>
          </w:tcPr>
          <w:p w14:paraId="3EAF2BBF" w14:textId="77777777" w:rsidR="00CD4EFA" w:rsidRPr="0069660B" w:rsidRDefault="00CD4EFA" w:rsidP="00CD4EFA">
            <w:pPr>
              <w:jc w:val="center"/>
              <w:rPr>
                <w:sz w:val="22"/>
              </w:rPr>
            </w:pPr>
            <w:r w:rsidRPr="0069660B">
              <w:rPr>
                <w:sz w:val="22"/>
              </w:rPr>
              <w:t>2009</w:t>
            </w:r>
          </w:p>
        </w:tc>
        <w:tc>
          <w:tcPr>
            <w:tcW w:w="1558" w:type="dxa"/>
            <w:tcBorders>
              <w:top w:val="single" w:sz="4" w:space="0" w:color="auto"/>
              <w:left w:val="single" w:sz="4" w:space="0" w:color="auto"/>
              <w:bottom w:val="single" w:sz="4" w:space="0" w:color="auto"/>
              <w:right w:val="single" w:sz="4" w:space="0" w:color="auto"/>
            </w:tcBorders>
            <w:vAlign w:val="center"/>
          </w:tcPr>
          <w:p w14:paraId="612E0B7C" w14:textId="0E186EFD" w:rsidR="00CD4EFA" w:rsidRPr="0037038C" w:rsidRDefault="00CD4EFA" w:rsidP="00CD4EFA">
            <w:pPr>
              <w:jc w:val="center"/>
              <w:rPr>
                <w:sz w:val="22"/>
              </w:rPr>
            </w:pPr>
            <w:r>
              <w:rPr>
                <w:color w:val="000000"/>
                <w:sz w:val="22"/>
              </w:rPr>
              <w:t>2,600</w:t>
            </w:r>
          </w:p>
        </w:tc>
        <w:tc>
          <w:tcPr>
            <w:tcW w:w="1559" w:type="dxa"/>
            <w:tcBorders>
              <w:top w:val="single" w:sz="4" w:space="0" w:color="auto"/>
              <w:left w:val="single" w:sz="4" w:space="0" w:color="auto"/>
              <w:bottom w:val="single" w:sz="4" w:space="0" w:color="auto"/>
              <w:right w:val="single" w:sz="4" w:space="0" w:color="auto"/>
            </w:tcBorders>
            <w:vAlign w:val="center"/>
          </w:tcPr>
          <w:p w14:paraId="3E7D02C8" w14:textId="2FB1FD4B" w:rsidR="00CD4EFA" w:rsidRPr="0037038C" w:rsidRDefault="00CD4EFA" w:rsidP="00CD4EFA">
            <w:pPr>
              <w:jc w:val="center"/>
              <w:rPr>
                <w:sz w:val="22"/>
              </w:rPr>
            </w:pPr>
            <w:r>
              <w:rPr>
                <w:color w:val="000000"/>
                <w:sz w:val="22"/>
              </w:rPr>
              <w:t>9,900</w:t>
            </w:r>
          </w:p>
        </w:tc>
        <w:tc>
          <w:tcPr>
            <w:tcW w:w="1558" w:type="dxa"/>
            <w:tcBorders>
              <w:top w:val="single" w:sz="4" w:space="0" w:color="auto"/>
              <w:left w:val="single" w:sz="4" w:space="0" w:color="auto"/>
              <w:bottom w:val="single" w:sz="4" w:space="0" w:color="auto"/>
              <w:right w:val="single" w:sz="4" w:space="0" w:color="auto"/>
            </w:tcBorders>
            <w:vAlign w:val="center"/>
          </w:tcPr>
          <w:p w14:paraId="3E7B90BA" w14:textId="1F5F303C" w:rsidR="00CD4EFA" w:rsidRPr="0037038C" w:rsidRDefault="00CD4EFA" w:rsidP="00CD4EFA">
            <w:pPr>
              <w:jc w:val="center"/>
              <w:rPr>
                <w:sz w:val="22"/>
              </w:rPr>
            </w:pPr>
            <w:r>
              <w:rPr>
                <w:color w:val="000000"/>
                <w:sz w:val="22"/>
              </w:rPr>
              <w:t>7,600</w:t>
            </w:r>
          </w:p>
        </w:tc>
        <w:tc>
          <w:tcPr>
            <w:tcW w:w="1558" w:type="dxa"/>
            <w:tcBorders>
              <w:top w:val="single" w:sz="4" w:space="0" w:color="auto"/>
              <w:left w:val="single" w:sz="4" w:space="0" w:color="auto"/>
              <w:bottom w:val="single" w:sz="4" w:space="0" w:color="auto"/>
              <w:right w:val="single" w:sz="4" w:space="0" w:color="auto"/>
            </w:tcBorders>
            <w:vAlign w:val="center"/>
          </w:tcPr>
          <w:p w14:paraId="256C1301" w14:textId="625CECBF" w:rsidR="00CD4EFA" w:rsidRPr="0037038C" w:rsidRDefault="00CD4EFA" w:rsidP="00CD4EFA">
            <w:pPr>
              <w:jc w:val="center"/>
              <w:rPr>
                <w:sz w:val="22"/>
              </w:rPr>
            </w:pPr>
            <w:r>
              <w:rPr>
                <w:color w:val="000000"/>
                <w:sz w:val="22"/>
              </w:rPr>
              <w:t>6,600</w:t>
            </w:r>
          </w:p>
        </w:tc>
        <w:tc>
          <w:tcPr>
            <w:tcW w:w="1559" w:type="dxa"/>
            <w:tcBorders>
              <w:top w:val="single" w:sz="4" w:space="0" w:color="auto"/>
              <w:left w:val="single" w:sz="4" w:space="0" w:color="auto"/>
              <w:bottom w:val="single" w:sz="4" w:space="0" w:color="auto"/>
              <w:right w:val="single" w:sz="4" w:space="0" w:color="auto"/>
            </w:tcBorders>
            <w:vAlign w:val="center"/>
          </w:tcPr>
          <w:p w14:paraId="3E21C243" w14:textId="0D5300F5" w:rsidR="00CD4EFA" w:rsidRPr="0037038C" w:rsidRDefault="00CD4EFA" w:rsidP="00CD4EFA">
            <w:pPr>
              <w:jc w:val="center"/>
              <w:rPr>
                <w:sz w:val="22"/>
              </w:rPr>
            </w:pPr>
            <w:r>
              <w:rPr>
                <w:color w:val="000000"/>
                <w:sz w:val="22"/>
              </w:rPr>
              <w:t>5,600</w:t>
            </w:r>
          </w:p>
        </w:tc>
      </w:tr>
      <w:tr w:rsidR="00CD4EFA" w:rsidRPr="0069660B" w14:paraId="49E12D95" w14:textId="77777777" w:rsidTr="0037038C">
        <w:trPr>
          <w:trHeight w:val="288"/>
        </w:trPr>
        <w:tc>
          <w:tcPr>
            <w:tcW w:w="1558" w:type="dxa"/>
            <w:tcBorders>
              <w:top w:val="single" w:sz="4" w:space="0" w:color="auto"/>
              <w:left w:val="single" w:sz="4" w:space="0" w:color="auto"/>
              <w:bottom w:val="single" w:sz="4" w:space="0" w:color="auto"/>
              <w:right w:val="single" w:sz="4" w:space="0" w:color="auto"/>
            </w:tcBorders>
            <w:vAlign w:val="center"/>
            <w:hideMark/>
          </w:tcPr>
          <w:p w14:paraId="4C568C9B" w14:textId="77777777" w:rsidR="00CD4EFA" w:rsidRPr="0069660B" w:rsidRDefault="00CD4EFA" w:rsidP="00CD4EFA">
            <w:pPr>
              <w:jc w:val="center"/>
              <w:rPr>
                <w:sz w:val="22"/>
              </w:rPr>
            </w:pPr>
            <w:r w:rsidRPr="0069660B">
              <w:rPr>
                <w:sz w:val="22"/>
              </w:rPr>
              <w:t>2010</w:t>
            </w:r>
          </w:p>
        </w:tc>
        <w:tc>
          <w:tcPr>
            <w:tcW w:w="1558" w:type="dxa"/>
            <w:tcBorders>
              <w:top w:val="single" w:sz="4" w:space="0" w:color="auto"/>
              <w:left w:val="single" w:sz="4" w:space="0" w:color="auto"/>
              <w:bottom w:val="single" w:sz="4" w:space="0" w:color="auto"/>
              <w:right w:val="single" w:sz="4" w:space="0" w:color="auto"/>
            </w:tcBorders>
            <w:vAlign w:val="center"/>
          </w:tcPr>
          <w:p w14:paraId="2F5CEBA7" w14:textId="0F80DC48" w:rsidR="00CD4EFA" w:rsidRPr="0037038C" w:rsidRDefault="00CD4EFA" w:rsidP="00CD4EFA">
            <w:pPr>
              <w:jc w:val="center"/>
              <w:rPr>
                <w:sz w:val="22"/>
              </w:rPr>
            </w:pPr>
            <w:r>
              <w:rPr>
                <w:color w:val="000000"/>
                <w:sz w:val="22"/>
              </w:rPr>
              <w:t>27,400</w:t>
            </w:r>
          </w:p>
        </w:tc>
        <w:tc>
          <w:tcPr>
            <w:tcW w:w="1559" w:type="dxa"/>
            <w:tcBorders>
              <w:top w:val="single" w:sz="4" w:space="0" w:color="auto"/>
              <w:left w:val="single" w:sz="4" w:space="0" w:color="auto"/>
              <w:bottom w:val="single" w:sz="4" w:space="0" w:color="auto"/>
              <w:right w:val="single" w:sz="4" w:space="0" w:color="auto"/>
            </w:tcBorders>
            <w:vAlign w:val="center"/>
          </w:tcPr>
          <w:p w14:paraId="2D80758D" w14:textId="617B2188" w:rsidR="00CD4EFA" w:rsidRPr="0037038C" w:rsidRDefault="00CD4EFA" w:rsidP="00CD4EFA">
            <w:pPr>
              <w:jc w:val="center"/>
              <w:rPr>
                <w:sz w:val="22"/>
              </w:rPr>
            </w:pPr>
            <w:r>
              <w:rPr>
                <w:color w:val="000000"/>
                <w:sz w:val="22"/>
              </w:rPr>
              <w:t>20,400</w:t>
            </w:r>
          </w:p>
        </w:tc>
        <w:tc>
          <w:tcPr>
            <w:tcW w:w="1558" w:type="dxa"/>
            <w:tcBorders>
              <w:top w:val="single" w:sz="4" w:space="0" w:color="auto"/>
              <w:left w:val="single" w:sz="4" w:space="0" w:color="auto"/>
              <w:bottom w:val="single" w:sz="4" w:space="0" w:color="auto"/>
              <w:right w:val="single" w:sz="4" w:space="0" w:color="auto"/>
            </w:tcBorders>
            <w:vAlign w:val="center"/>
          </w:tcPr>
          <w:p w14:paraId="1AC93B3D" w14:textId="76C9257A" w:rsidR="00CD4EFA" w:rsidRPr="0037038C" w:rsidRDefault="00CD4EFA" w:rsidP="00CD4EFA">
            <w:pPr>
              <w:jc w:val="center"/>
              <w:rPr>
                <w:sz w:val="22"/>
              </w:rPr>
            </w:pPr>
            <w:r>
              <w:rPr>
                <w:color w:val="000000"/>
                <w:sz w:val="22"/>
              </w:rPr>
              <w:t>16,200</w:t>
            </w:r>
          </w:p>
        </w:tc>
        <w:tc>
          <w:tcPr>
            <w:tcW w:w="1558" w:type="dxa"/>
            <w:tcBorders>
              <w:top w:val="single" w:sz="4" w:space="0" w:color="auto"/>
              <w:left w:val="single" w:sz="4" w:space="0" w:color="auto"/>
              <w:bottom w:val="single" w:sz="4" w:space="0" w:color="auto"/>
              <w:right w:val="single" w:sz="4" w:space="0" w:color="auto"/>
            </w:tcBorders>
            <w:vAlign w:val="center"/>
          </w:tcPr>
          <w:p w14:paraId="34F25745" w14:textId="766D9DE1" w:rsidR="00CD4EFA" w:rsidRPr="0037038C" w:rsidRDefault="00CD4EFA" w:rsidP="00CD4EFA">
            <w:pPr>
              <w:jc w:val="center"/>
              <w:rPr>
                <w:sz w:val="22"/>
              </w:rPr>
            </w:pPr>
            <w:r>
              <w:rPr>
                <w:color w:val="000000"/>
                <w:sz w:val="22"/>
              </w:rPr>
              <w:t>7,300</w:t>
            </w:r>
          </w:p>
        </w:tc>
        <w:tc>
          <w:tcPr>
            <w:tcW w:w="1559" w:type="dxa"/>
            <w:tcBorders>
              <w:top w:val="single" w:sz="4" w:space="0" w:color="auto"/>
              <w:left w:val="single" w:sz="4" w:space="0" w:color="auto"/>
              <w:bottom w:val="single" w:sz="4" w:space="0" w:color="auto"/>
              <w:right w:val="single" w:sz="4" w:space="0" w:color="auto"/>
            </w:tcBorders>
            <w:vAlign w:val="center"/>
          </w:tcPr>
          <w:p w14:paraId="500AD02D" w14:textId="7466E53A" w:rsidR="00CD4EFA" w:rsidRPr="0037038C" w:rsidRDefault="00CD4EFA" w:rsidP="00CD4EFA">
            <w:pPr>
              <w:jc w:val="center"/>
              <w:rPr>
                <w:sz w:val="22"/>
              </w:rPr>
            </w:pPr>
            <w:r>
              <w:rPr>
                <w:color w:val="000000"/>
                <w:sz w:val="22"/>
              </w:rPr>
              <w:t>6,700</w:t>
            </w:r>
          </w:p>
        </w:tc>
      </w:tr>
      <w:tr w:rsidR="00CD4EFA" w:rsidRPr="0069660B" w14:paraId="15AF785B" w14:textId="77777777" w:rsidTr="0037038C">
        <w:trPr>
          <w:trHeight w:val="288"/>
        </w:trPr>
        <w:tc>
          <w:tcPr>
            <w:tcW w:w="1558" w:type="dxa"/>
            <w:tcBorders>
              <w:top w:val="single" w:sz="4" w:space="0" w:color="auto"/>
              <w:left w:val="single" w:sz="4" w:space="0" w:color="auto"/>
              <w:bottom w:val="single" w:sz="4" w:space="0" w:color="auto"/>
              <w:right w:val="single" w:sz="4" w:space="0" w:color="auto"/>
            </w:tcBorders>
            <w:vAlign w:val="center"/>
            <w:hideMark/>
          </w:tcPr>
          <w:p w14:paraId="5E9E81CC" w14:textId="77777777" w:rsidR="00CD4EFA" w:rsidRPr="0069660B" w:rsidRDefault="00CD4EFA" w:rsidP="00CD4EFA">
            <w:pPr>
              <w:jc w:val="center"/>
              <w:rPr>
                <w:sz w:val="22"/>
              </w:rPr>
            </w:pPr>
            <w:r w:rsidRPr="0069660B">
              <w:rPr>
                <w:sz w:val="22"/>
              </w:rPr>
              <w:t>2011</w:t>
            </w:r>
          </w:p>
        </w:tc>
        <w:tc>
          <w:tcPr>
            <w:tcW w:w="1558" w:type="dxa"/>
            <w:tcBorders>
              <w:top w:val="single" w:sz="4" w:space="0" w:color="auto"/>
              <w:left w:val="single" w:sz="4" w:space="0" w:color="auto"/>
              <w:bottom w:val="single" w:sz="4" w:space="0" w:color="auto"/>
              <w:right w:val="single" w:sz="4" w:space="0" w:color="auto"/>
            </w:tcBorders>
            <w:vAlign w:val="center"/>
          </w:tcPr>
          <w:p w14:paraId="01E652B1" w14:textId="5E4229F8" w:rsidR="00CD4EFA" w:rsidRPr="0037038C" w:rsidRDefault="00CD4EFA" w:rsidP="00CD4EFA">
            <w:pPr>
              <w:jc w:val="center"/>
              <w:rPr>
                <w:sz w:val="22"/>
              </w:rPr>
            </w:pPr>
            <w:r>
              <w:rPr>
                <w:color w:val="000000"/>
                <w:sz w:val="22"/>
              </w:rPr>
              <w:t>79,300</w:t>
            </w:r>
          </w:p>
        </w:tc>
        <w:tc>
          <w:tcPr>
            <w:tcW w:w="1559" w:type="dxa"/>
            <w:tcBorders>
              <w:top w:val="single" w:sz="4" w:space="0" w:color="auto"/>
              <w:left w:val="single" w:sz="4" w:space="0" w:color="auto"/>
              <w:bottom w:val="single" w:sz="4" w:space="0" w:color="auto"/>
              <w:right w:val="single" w:sz="4" w:space="0" w:color="auto"/>
            </w:tcBorders>
            <w:vAlign w:val="center"/>
          </w:tcPr>
          <w:p w14:paraId="5B98D27C" w14:textId="5D0FE773" w:rsidR="00CD4EFA" w:rsidRPr="0037038C" w:rsidRDefault="00CD4EFA" w:rsidP="00CD4EFA">
            <w:pPr>
              <w:jc w:val="center"/>
              <w:rPr>
                <w:sz w:val="22"/>
              </w:rPr>
            </w:pPr>
            <w:r>
              <w:rPr>
                <w:color w:val="000000"/>
                <w:sz w:val="22"/>
              </w:rPr>
              <w:t>42,600</w:t>
            </w:r>
          </w:p>
        </w:tc>
        <w:tc>
          <w:tcPr>
            <w:tcW w:w="1558" w:type="dxa"/>
            <w:tcBorders>
              <w:top w:val="single" w:sz="4" w:space="0" w:color="auto"/>
              <w:left w:val="single" w:sz="4" w:space="0" w:color="auto"/>
              <w:bottom w:val="single" w:sz="4" w:space="0" w:color="auto"/>
              <w:right w:val="single" w:sz="4" w:space="0" w:color="auto"/>
            </w:tcBorders>
            <w:vAlign w:val="center"/>
          </w:tcPr>
          <w:p w14:paraId="7BFF1322" w14:textId="13826739" w:rsidR="00CD4EFA" w:rsidRPr="0037038C" w:rsidRDefault="00CD4EFA" w:rsidP="00CD4EFA">
            <w:pPr>
              <w:jc w:val="center"/>
              <w:rPr>
                <w:sz w:val="22"/>
              </w:rPr>
            </w:pPr>
            <w:r>
              <w:rPr>
                <w:color w:val="000000"/>
                <w:sz w:val="22"/>
              </w:rPr>
              <w:t>26,200</w:t>
            </w:r>
          </w:p>
        </w:tc>
        <w:tc>
          <w:tcPr>
            <w:tcW w:w="1558" w:type="dxa"/>
            <w:tcBorders>
              <w:top w:val="single" w:sz="4" w:space="0" w:color="auto"/>
              <w:left w:val="single" w:sz="4" w:space="0" w:color="auto"/>
              <w:bottom w:val="single" w:sz="4" w:space="0" w:color="auto"/>
              <w:right w:val="single" w:sz="4" w:space="0" w:color="auto"/>
            </w:tcBorders>
            <w:vAlign w:val="center"/>
          </w:tcPr>
          <w:p w14:paraId="038E0076" w14:textId="0805F1EA" w:rsidR="00CD4EFA" w:rsidRPr="0037038C" w:rsidRDefault="00CD4EFA" w:rsidP="00CD4EFA">
            <w:pPr>
              <w:jc w:val="center"/>
              <w:rPr>
                <w:sz w:val="22"/>
              </w:rPr>
            </w:pPr>
            <w:r>
              <w:rPr>
                <w:color w:val="000000"/>
                <w:sz w:val="22"/>
              </w:rPr>
              <w:t>2,700</w:t>
            </w:r>
          </w:p>
        </w:tc>
        <w:tc>
          <w:tcPr>
            <w:tcW w:w="1559" w:type="dxa"/>
            <w:tcBorders>
              <w:top w:val="single" w:sz="4" w:space="0" w:color="auto"/>
              <w:left w:val="single" w:sz="4" w:space="0" w:color="auto"/>
              <w:bottom w:val="single" w:sz="4" w:space="0" w:color="auto"/>
              <w:right w:val="single" w:sz="4" w:space="0" w:color="auto"/>
            </w:tcBorders>
            <w:vAlign w:val="center"/>
          </w:tcPr>
          <w:p w14:paraId="79B451B5" w14:textId="138D182D" w:rsidR="00CD4EFA" w:rsidRPr="0037038C" w:rsidRDefault="00CD4EFA" w:rsidP="00CD4EFA">
            <w:pPr>
              <w:jc w:val="center"/>
              <w:rPr>
                <w:sz w:val="22"/>
              </w:rPr>
            </w:pPr>
            <w:r>
              <w:rPr>
                <w:color w:val="000000"/>
                <w:sz w:val="22"/>
              </w:rPr>
              <w:t>2,500</w:t>
            </w:r>
          </w:p>
        </w:tc>
      </w:tr>
      <w:tr w:rsidR="00CD4EFA" w:rsidRPr="0069660B" w14:paraId="1AC3DB97" w14:textId="77777777" w:rsidTr="0037038C">
        <w:trPr>
          <w:trHeight w:val="288"/>
        </w:trPr>
        <w:tc>
          <w:tcPr>
            <w:tcW w:w="1558" w:type="dxa"/>
            <w:tcBorders>
              <w:top w:val="single" w:sz="4" w:space="0" w:color="auto"/>
              <w:left w:val="single" w:sz="4" w:space="0" w:color="auto"/>
              <w:bottom w:val="single" w:sz="4" w:space="0" w:color="auto"/>
              <w:right w:val="single" w:sz="4" w:space="0" w:color="auto"/>
            </w:tcBorders>
            <w:vAlign w:val="center"/>
            <w:hideMark/>
          </w:tcPr>
          <w:p w14:paraId="07A8E83E" w14:textId="77777777" w:rsidR="00CD4EFA" w:rsidRPr="0069660B" w:rsidRDefault="00CD4EFA" w:rsidP="00CD4EFA">
            <w:pPr>
              <w:jc w:val="center"/>
              <w:rPr>
                <w:sz w:val="22"/>
              </w:rPr>
            </w:pPr>
            <w:r w:rsidRPr="0069660B">
              <w:rPr>
                <w:sz w:val="22"/>
              </w:rPr>
              <w:t>2012</w:t>
            </w:r>
          </w:p>
        </w:tc>
        <w:tc>
          <w:tcPr>
            <w:tcW w:w="1558" w:type="dxa"/>
            <w:tcBorders>
              <w:top w:val="single" w:sz="4" w:space="0" w:color="auto"/>
              <w:left w:val="single" w:sz="4" w:space="0" w:color="auto"/>
              <w:bottom w:val="single" w:sz="4" w:space="0" w:color="auto"/>
              <w:right w:val="single" w:sz="4" w:space="0" w:color="auto"/>
            </w:tcBorders>
            <w:vAlign w:val="center"/>
          </w:tcPr>
          <w:p w14:paraId="75E25A4D" w14:textId="41206E36" w:rsidR="00CD4EFA" w:rsidRPr="0037038C" w:rsidRDefault="00CD4EFA" w:rsidP="00CD4EFA">
            <w:pPr>
              <w:jc w:val="center"/>
              <w:rPr>
                <w:sz w:val="22"/>
              </w:rPr>
            </w:pPr>
            <w:r>
              <w:rPr>
                <w:color w:val="000000"/>
                <w:sz w:val="22"/>
              </w:rPr>
              <w:t>26,200</w:t>
            </w:r>
          </w:p>
        </w:tc>
        <w:tc>
          <w:tcPr>
            <w:tcW w:w="1559" w:type="dxa"/>
            <w:tcBorders>
              <w:top w:val="single" w:sz="4" w:space="0" w:color="auto"/>
              <w:left w:val="single" w:sz="4" w:space="0" w:color="auto"/>
              <w:bottom w:val="single" w:sz="4" w:space="0" w:color="auto"/>
              <w:right w:val="single" w:sz="4" w:space="0" w:color="auto"/>
            </w:tcBorders>
            <w:vAlign w:val="center"/>
          </w:tcPr>
          <w:p w14:paraId="0E89D065" w14:textId="33A21FE0" w:rsidR="00CD4EFA" w:rsidRPr="0037038C" w:rsidRDefault="00CD4EFA" w:rsidP="00CD4EFA">
            <w:pPr>
              <w:jc w:val="center"/>
              <w:rPr>
                <w:sz w:val="22"/>
              </w:rPr>
            </w:pPr>
            <w:r>
              <w:rPr>
                <w:color w:val="000000"/>
                <w:sz w:val="22"/>
              </w:rPr>
              <w:t>39,500</w:t>
            </w:r>
          </w:p>
        </w:tc>
        <w:tc>
          <w:tcPr>
            <w:tcW w:w="1558" w:type="dxa"/>
            <w:tcBorders>
              <w:top w:val="single" w:sz="4" w:space="0" w:color="auto"/>
              <w:left w:val="single" w:sz="4" w:space="0" w:color="auto"/>
              <w:bottom w:val="single" w:sz="4" w:space="0" w:color="auto"/>
              <w:right w:val="single" w:sz="4" w:space="0" w:color="auto"/>
            </w:tcBorders>
            <w:vAlign w:val="center"/>
          </w:tcPr>
          <w:p w14:paraId="07AF3CA1" w14:textId="389D0133" w:rsidR="00CD4EFA" w:rsidRPr="0037038C" w:rsidRDefault="00CD4EFA" w:rsidP="00CD4EFA">
            <w:pPr>
              <w:jc w:val="center"/>
              <w:rPr>
                <w:sz w:val="22"/>
              </w:rPr>
            </w:pPr>
            <w:r>
              <w:rPr>
                <w:color w:val="000000"/>
                <w:sz w:val="22"/>
              </w:rPr>
              <w:t>24,000</w:t>
            </w:r>
          </w:p>
        </w:tc>
        <w:tc>
          <w:tcPr>
            <w:tcW w:w="1558" w:type="dxa"/>
            <w:tcBorders>
              <w:top w:val="single" w:sz="4" w:space="0" w:color="auto"/>
              <w:left w:val="single" w:sz="4" w:space="0" w:color="auto"/>
              <w:bottom w:val="single" w:sz="4" w:space="0" w:color="auto"/>
              <w:right w:val="single" w:sz="4" w:space="0" w:color="auto"/>
            </w:tcBorders>
            <w:vAlign w:val="center"/>
          </w:tcPr>
          <w:p w14:paraId="68B59B51" w14:textId="1785BF5C" w:rsidR="00CD4EFA" w:rsidRPr="0037038C" w:rsidRDefault="00CD4EFA" w:rsidP="00CD4EFA">
            <w:pPr>
              <w:jc w:val="center"/>
              <w:rPr>
                <w:sz w:val="22"/>
              </w:rPr>
            </w:pPr>
            <w:r>
              <w:rPr>
                <w:color w:val="000000"/>
                <w:sz w:val="22"/>
              </w:rPr>
              <w:t>9,200</w:t>
            </w:r>
          </w:p>
        </w:tc>
        <w:tc>
          <w:tcPr>
            <w:tcW w:w="1559" w:type="dxa"/>
            <w:tcBorders>
              <w:top w:val="single" w:sz="4" w:space="0" w:color="auto"/>
              <w:left w:val="single" w:sz="4" w:space="0" w:color="auto"/>
              <w:bottom w:val="single" w:sz="4" w:space="0" w:color="auto"/>
              <w:right w:val="single" w:sz="4" w:space="0" w:color="auto"/>
            </w:tcBorders>
            <w:vAlign w:val="center"/>
          </w:tcPr>
          <w:p w14:paraId="1A14606C" w14:textId="19AF470E" w:rsidR="00CD4EFA" w:rsidRPr="0037038C" w:rsidRDefault="00CD4EFA" w:rsidP="00CD4EFA">
            <w:pPr>
              <w:jc w:val="center"/>
              <w:rPr>
                <w:sz w:val="22"/>
              </w:rPr>
            </w:pPr>
            <w:r>
              <w:rPr>
                <w:color w:val="000000"/>
                <w:sz w:val="22"/>
              </w:rPr>
              <w:t>8,000</w:t>
            </w:r>
          </w:p>
        </w:tc>
      </w:tr>
      <w:tr w:rsidR="00CD4EFA" w:rsidRPr="0069660B" w14:paraId="269C1F4D" w14:textId="77777777" w:rsidTr="0037038C">
        <w:trPr>
          <w:trHeight w:val="288"/>
        </w:trPr>
        <w:tc>
          <w:tcPr>
            <w:tcW w:w="1558" w:type="dxa"/>
            <w:tcBorders>
              <w:top w:val="single" w:sz="4" w:space="0" w:color="auto"/>
              <w:left w:val="single" w:sz="4" w:space="0" w:color="auto"/>
              <w:bottom w:val="single" w:sz="4" w:space="0" w:color="auto"/>
              <w:right w:val="single" w:sz="4" w:space="0" w:color="auto"/>
            </w:tcBorders>
            <w:vAlign w:val="center"/>
            <w:hideMark/>
          </w:tcPr>
          <w:p w14:paraId="66CBE6DA" w14:textId="77777777" w:rsidR="00CD4EFA" w:rsidRPr="0069660B" w:rsidRDefault="00CD4EFA" w:rsidP="00CD4EFA">
            <w:pPr>
              <w:jc w:val="center"/>
              <w:rPr>
                <w:sz w:val="22"/>
              </w:rPr>
            </w:pPr>
            <w:r w:rsidRPr="0069660B">
              <w:rPr>
                <w:sz w:val="22"/>
              </w:rPr>
              <w:t>2013</w:t>
            </w:r>
          </w:p>
        </w:tc>
        <w:tc>
          <w:tcPr>
            <w:tcW w:w="1558" w:type="dxa"/>
            <w:tcBorders>
              <w:top w:val="single" w:sz="4" w:space="0" w:color="auto"/>
              <w:left w:val="single" w:sz="4" w:space="0" w:color="auto"/>
              <w:bottom w:val="single" w:sz="4" w:space="0" w:color="auto"/>
              <w:right w:val="single" w:sz="4" w:space="0" w:color="auto"/>
            </w:tcBorders>
            <w:vAlign w:val="center"/>
          </w:tcPr>
          <w:p w14:paraId="37641F79" w14:textId="30CDDEB5" w:rsidR="00CD4EFA" w:rsidRPr="0037038C" w:rsidRDefault="00CD4EFA" w:rsidP="00CD4EFA">
            <w:pPr>
              <w:jc w:val="center"/>
              <w:rPr>
                <w:sz w:val="22"/>
              </w:rPr>
            </w:pPr>
            <w:r>
              <w:rPr>
                <w:color w:val="000000"/>
                <w:sz w:val="22"/>
              </w:rPr>
              <w:t>17,900</w:t>
            </w:r>
          </w:p>
        </w:tc>
        <w:tc>
          <w:tcPr>
            <w:tcW w:w="1559" w:type="dxa"/>
            <w:tcBorders>
              <w:top w:val="single" w:sz="4" w:space="0" w:color="auto"/>
              <w:left w:val="single" w:sz="4" w:space="0" w:color="auto"/>
              <w:bottom w:val="single" w:sz="4" w:space="0" w:color="auto"/>
              <w:right w:val="single" w:sz="4" w:space="0" w:color="auto"/>
            </w:tcBorders>
            <w:vAlign w:val="center"/>
          </w:tcPr>
          <w:p w14:paraId="70563EAB" w14:textId="54628758" w:rsidR="00CD4EFA" w:rsidRPr="0037038C" w:rsidRDefault="00CD4EFA" w:rsidP="00CD4EFA">
            <w:pPr>
              <w:jc w:val="center"/>
              <w:rPr>
                <w:sz w:val="22"/>
              </w:rPr>
            </w:pPr>
            <w:r>
              <w:rPr>
                <w:color w:val="000000"/>
                <w:sz w:val="22"/>
              </w:rPr>
              <w:t>23,300</w:t>
            </w:r>
          </w:p>
        </w:tc>
        <w:tc>
          <w:tcPr>
            <w:tcW w:w="1558" w:type="dxa"/>
            <w:tcBorders>
              <w:top w:val="single" w:sz="4" w:space="0" w:color="auto"/>
              <w:left w:val="single" w:sz="4" w:space="0" w:color="auto"/>
              <w:bottom w:val="single" w:sz="4" w:space="0" w:color="auto"/>
              <w:right w:val="single" w:sz="4" w:space="0" w:color="auto"/>
            </w:tcBorders>
            <w:vAlign w:val="center"/>
          </w:tcPr>
          <w:p w14:paraId="17183C7A" w14:textId="0976D571" w:rsidR="00CD4EFA" w:rsidRPr="0037038C" w:rsidRDefault="00CD4EFA" w:rsidP="00CD4EFA">
            <w:pPr>
              <w:jc w:val="center"/>
              <w:rPr>
                <w:sz w:val="22"/>
              </w:rPr>
            </w:pPr>
            <w:r>
              <w:rPr>
                <w:color w:val="000000"/>
                <w:sz w:val="22"/>
              </w:rPr>
              <w:t>12,300</w:t>
            </w:r>
          </w:p>
        </w:tc>
        <w:tc>
          <w:tcPr>
            <w:tcW w:w="1558" w:type="dxa"/>
            <w:tcBorders>
              <w:top w:val="single" w:sz="4" w:space="0" w:color="auto"/>
              <w:left w:val="single" w:sz="4" w:space="0" w:color="auto"/>
              <w:bottom w:val="single" w:sz="4" w:space="0" w:color="auto"/>
              <w:right w:val="single" w:sz="4" w:space="0" w:color="auto"/>
            </w:tcBorders>
            <w:vAlign w:val="center"/>
          </w:tcPr>
          <w:p w14:paraId="17D4CDCB" w14:textId="723C8428" w:rsidR="00CD4EFA" w:rsidRPr="0037038C" w:rsidRDefault="00CD4EFA" w:rsidP="00CD4EFA">
            <w:pPr>
              <w:jc w:val="center"/>
              <w:rPr>
                <w:sz w:val="22"/>
              </w:rPr>
            </w:pPr>
            <w:r>
              <w:rPr>
                <w:color w:val="000000"/>
                <w:sz w:val="22"/>
              </w:rPr>
              <w:t>6,600</w:t>
            </w:r>
          </w:p>
        </w:tc>
        <w:tc>
          <w:tcPr>
            <w:tcW w:w="1559" w:type="dxa"/>
            <w:tcBorders>
              <w:top w:val="single" w:sz="4" w:space="0" w:color="auto"/>
              <w:left w:val="single" w:sz="4" w:space="0" w:color="auto"/>
              <w:bottom w:val="single" w:sz="4" w:space="0" w:color="auto"/>
              <w:right w:val="single" w:sz="4" w:space="0" w:color="auto"/>
            </w:tcBorders>
            <w:vAlign w:val="center"/>
          </w:tcPr>
          <w:p w14:paraId="59E7A46F" w14:textId="1C7336CA" w:rsidR="00CD4EFA" w:rsidRPr="0037038C" w:rsidRDefault="00CD4EFA" w:rsidP="00CD4EFA">
            <w:pPr>
              <w:jc w:val="center"/>
              <w:rPr>
                <w:sz w:val="22"/>
              </w:rPr>
            </w:pPr>
            <w:r>
              <w:rPr>
                <w:color w:val="000000"/>
                <w:sz w:val="22"/>
              </w:rPr>
              <w:t>5,600</w:t>
            </w:r>
          </w:p>
        </w:tc>
      </w:tr>
      <w:tr w:rsidR="00CD4EFA" w:rsidRPr="0069660B" w14:paraId="3A645B8C" w14:textId="77777777" w:rsidTr="0037038C">
        <w:trPr>
          <w:trHeight w:val="288"/>
        </w:trPr>
        <w:tc>
          <w:tcPr>
            <w:tcW w:w="1558" w:type="dxa"/>
            <w:tcBorders>
              <w:top w:val="single" w:sz="4" w:space="0" w:color="auto"/>
              <w:left w:val="single" w:sz="4" w:space="0" w:color="auto"/>
              <w:bottom w:val="single" w:sz="4" w:space="0" w:color="auto"/>
              <w:right w:val="single" w:sz="4" w:space="0" w:color="auto"/>
            </w:tcBorders>
            <w:vAlign w:val="center"/>
            <w:hideMark/>
          </w:tcPr>
          <w:p w14:paraId="4E6992CE" w14:textId="77777777" w:rsidR="00CD4EFA" w:rsidRPr="0069660B" w:rsidRDefault="00CD4EFA" w:rsidP="00CD4EFA">
            <w:pPr>
              <w:jc w:val="center"/>
              <w:rPr>
                <w:sz w:val="22"/>
              </w:rPr>
            </w:pPr>
            <w:r w:rsidRPr="0069660B">
              <w:rPr>
                <w:sz w:val="22"/>
              </w:rPr>
              <w:t>2014</w:t>
            </w:r>
          </w:p>
        </w:tc>
        <w:tc>
          <w:tcPr>
            <w:tcW w:w="1558" w:type="dxa"/>
            <w:tcBorders>
              <w:top w:val="single" w:sz="4" w:space="0" w:color="auto"/>
              <w:left w:val="single" w:sz="4" w:space="0" w:color="auto"/>
              <w:bottom w:val="single" w:sz="4" w:space="0" w:color="auto"/>
              <w:right w:val="single" w:sz="4" w:space="0" w:color="auto"/>
            </w:tcBorders>
            <w:vAlign w:val="center"/>
          </w:tcPr>
          <w:p w14:paraId="4331CDC4" w14:textId="0C518C0D" w:rsidR="00CD4EFA" w:rsidRPr="0037038C" w:rsidRDefault="00CD4EFA" w:rsidP="00CD4EFA">
            <w:pPr>
              <w:jc w:val="center"/>
              <w:rPr>
                <w:sz w:val="22"/>
              </w:rPr>
            </w:pPr>
            <w:r>
              <w:rPr>
                <w:color w:val="000000"/>
                <w:sz w:val="22"/>
              </w:rPr>
              <w:t>16,800</w:t>
            </w:r>
          </w:p>
        </w:tc>
        <w:tc>
          <w:tcPr>
            <w:tcW w:w="1559" w:type="dxa"/>
            <w:tcBorders>
              <w:top w:val="single" w:sz="4" w:space="0" w:color="auto"/>
              <w:left w:val="single" w:sz="4" w:space="0" w:color="auto"/>
              <w:bottom w:val="single" w:sz="4" w:space="0" w:color="auto"/>
              <w:right w:val="single" w:sz="4" w:space="0" w:color="auto"/>
            </w:tcBorders>
            <w:vAlign w:val="center"/>
          </w:tcPr>
          <w:p w14:paraId="529AEFB6" w14:textId="710BC915" w:rsidR="00CD4EFA" w:rsidRPr="0037038C" w:rsidRDefault="00CD4EFA" w:rsidP="00CD4EFA">
            <w:pPr>
              <w:jc w:val="center"/>
              <w:rPr>
                <w:sz w:val="22"/>
              </w:rPr>
            </w:pPr>
            <w:r>
              <w:rPr>
                <w:color w:val="000000"/>
                <w:sz w:val="22"/>
              </w:rPr>
              <w:t>21,500</w:t>
            </w:r>
          </w:p>
        </w:tc>
        <w:tc>
          <w:tcPr>
            <w:tcW w:w="1558" w:type="dxa"/>
            <w:tcBorders>
              <w:top w:val="single" w:sz="4" w:space="0" w:color="auto"/>
              <w:left w:val="single" w:sz="4" w:space="0" w:color="auto"/>
              <w:bottom w:val="single" w:sz="4" w:space="0" w:color="auto"/>
              <w:right w:val="single" w:sz="4" w:space="0" w:color="auto"/>
            </w:tcBorders>
            <w:vAlign w:val="center"/>
          </w:tcPr>
          <w:p w14:paraId="68AFA561" w14:textId="42A3D9C0" w:rsidR="00CD4EFA" w:rsidRPr="0037038C" w:rsidRDefault="00CD4EFA" w:rsidP="00CD4EFA">
            <w:pPr>
              <w:jc w:val="center"/>
              <w:rPr>
                <w:sz w:val="22"/>
              </w:rPr>
            </w:pPr>
            <w:r>
              <w:rPr>
                <w:color w:val="000000"/>
                <w:sz w:val="22"/>
              </w:rPr>
              <w:t>17,100</w:t>
            </w:r>
          </w:p>
        </w:tc>
        <w:tc>
          <w:tcPr>
            <w:tcW w:w="1558" w:type="dxa"/>
            <w:tcBorders>
              <w:top w:val="single" w:sz="4" w:space="0" w:color="auto"/>
              <w:left w:val="single" w:sz="4" w:space="0" w:color="auto"/>
              <w:bottom w:val="single" w:sz="4" w:space="0" w:color="auto"/>
              <w:right w:val="single" w:sz="4" w:space="0" w:color="auto"/>
            </w:tcBorders>
            <w:vAlign w:val="center"/>
          </w:tcPr>
          <w:p w14:paraId="35685786" w14:textId="555531F2" w:rsidR="00CD4EFA" w:rsidRPr="0037038C" w:rsidRDefault="00CD4EFA" w:rsidP="00CD4EFA">
            <w:pPr>
              <w:jc w:val="center"/>
              <w:rPr>
                <w:sz w:val="22"/>
              </w:rPr>
            </w:pPr>
            <w:r>
              <w:rPr>
                <w:color w:val="000000"/>
                <w:sz w:val="22"/>
              </w:rPr>
              <w:t>12,900</w:t>
            </w:r>
          </w:p>
        </w:tc>
        <w:tc>
          <w:tcPr>
            <w:tcW w:w="1559" w:type="dxa"/>
            <w:tcBorders>
              <w:top w:val="single" w:sz="4" w:space="0" w:color="auto"/>
              <w:left w:val="single" w:sz="4" w:space="0" w:color="auto"/>
              <w:bottom w:val="single" w:sz="4" w:space="0" w:color="auto"/>
              <w:right w:val="single" w:sz="4" w:space="0" w:color="auto"/>
            </w:tcBorders>
            <w:vAlign w:val="center"/>
          </w:tcPr>
          <w:p w14:paraId="7EF28EFC" w14:textId="39010F90" w:rsidR="00CD4EFA" w:rsidRPr="0037038C" w:rsidRDefault="00CD4EFA" w:rsidP="00CD4EFA">
            <w:pPr>
              <w:jc w:val="center"/>
              <w:rPr>
                <w:sz w:val="22"/>
              </w:rPr>
            </w:pPr>
            <w:r>
              <w:rPr>
                <w:color w:val="000000"/>
                <w:sz w:val="22"/>
              </w:rPr>
              <w:t>10,800</w:t>
            </w:r>
          </w:p>
        </w:tc>
      </w:tr>
      <w:tr w:rsidR="00CD4EFA" w:rsidRPr="0069660B" w14:paraId="5BA4129C" w14:textId="77777777" w:rsidTr="0037038C">
        <w:trPr>
          <w:trHeight w:val="288"/>
        </w:trPr>
        <w:tc>
          <w:tcPr>
            <w:tcW w:w="1558" w:type="dxa"/>
            <w:tcBorders>
              <w:top w:val="single" w:sz="4" w:space="0" w:color="auto"/>
              <w:left w:val="single" w:sz="4" w:space="0" w:color="auto"/>
              <w:bottom w:val="single" w:sz="4" w:space="0" w:color="auto"/>
              <w:right w:val="single" w:sz="4" w:space="0" w:color="auto"/>
            </w:tcBorders>
            <w:vAlign w:val="center"/>
            <w:hideMark/>
          </w:tcPr>
          <w:p w14:paraId="3718E965" w14:textId="77777777" w:rsidR="00CD4EFA" w:rsidRPr="0069660B" w:rsidRDefault="00CD4EFA" w:rsidP="00CD4EFA">
            <w:pPr>
              <w:jc w:val="center"/>
              <w:rPr>
                <w:sz w:val="22"/>
              </w:rPr>
            </w:pPr>
            <w:r w:rsidRPr="0069660B">
              <w:rPr>
                <w:sz w:val="22"/>
              </w:rPr>
              <w:t>2015</w:t>
            </w:r>
          </w:p>
        </w:tc>
        <w:tc>
          <w:tcPr>
            <w:tcW w:w="1558" w:type="dxa"/>
            <w:tcBorders>
              <w:top w:val="single" w:sz="4" w:space="0" w:color="auto"/>
              <w:left w:val="single" w:sz="4" w:space="0" w:color="auto"/>
              <w:bottom w:val="single" w:sz="4" w:space="0" w:color="auto"/>
              <w:right w:val="single" w:sz="4" w:space="0" w:color="auto"/>
            </w:tcBorders>
            <w:vAlign w:val="center"/>
          </w:tcPr>
          <w:p w14:paraId="51BE91DF" w14:textId="4E5A60A2" w:rsidR="00CD4EFA" w:rsidRPr="0037038C" w:rsidRDefault="00CD4EFA" w:rsidP="00CD4EFA">
            <w:pPr>
              <w:jc w:val="center"/>
              <w:rPr>
                <w:sz w:val="22"/>
              </w:rPr>
            </w:pPr>
            <w:r>
              <w:rPr>
                <w:color w:val="000000"/>
                <w:sz w:val="22"/>
              </w:rPr>
              <w:t>35,200</w:t>
            </w:r>
          </w:p>
        </w:tc>
        <w:tc>
          <w:tcPr>
            <w:tcW w:w="1559" w:type="dxa"/>
            <w:tcBorders>
              <w:top w:val="single" w:sz="4" w:space="0" w:color="auto"/>
              <w:left w:val="single" w:sz="4" w:space="0" w:color="auto"/>
              <w:bottom w:val="single" w:sz="4" w:space="0" w:color="auto"/>
              <w:right w:val="single" w:sz="4" w:space="0" w:color="auto"/>
            </w:tcBorders>
            <w:vAlign w:val="center"/>
          </w:tcPr>
          <w:p w14:paraId="7FE42B3A" w14:textId="5747E2D6" w:rsidR="00CD4EFA" w:rsidRPr="0037038C" w:rsidRDefault="00CD4EFA" w:rsidP="00CD4EFA">
            <w:pPr>
              <w:jc w:val="center"/>
              <w:rPr>
                <w:sz w:val="22"/>
              </w:rPr>
            </w:pPr>
            <w:r>
              <w:rPr>
                <w:color w:val="000000"/>
                <w:sz w:val="22"/>
              </w:rPr>
              <w:t>29,400</w:t>
            </w:r>
          </w:p>
        </w:tc>
        <w:tc>
          <w:tcPr>
            <w:tcW w:w="1558" w:type="dxa"/>
            <w:tcBorders>
              <w:top w:val="single" w:sz="4" w:space="0" w:color="auto"/>
              <w:left w:val="single" w:sz="4" w:space="0" w:color="auto"/>
              <w:bottom w:val="single" w:sz="4" w:space="0" w:color="auto"/>
              <w:right w:val="single" w:sz="4" w:space="0" w:color="auto"/>
            </w:tcBorders>
            <w:vAlign w:val="center"/>
          </w:tcPr>
          <w:p w14:paraId="16EEEB1C" w14:textId="5CB7F5C4" w:rsidR="00CD4EFA" w:rsidRPr="0037038C" w:rsidRDefault="00CD4EFA" w:rsidP="00CD4EFA">
            <w:pPr>
              <w:jc w:val="center"/>
              <w:rPr>
                <w:sz w:val="22"/>
              </w:rPr>
            </w:pPr>
            <w:r>
              <w:rPr>
                <w:color w:val="000000"/>
                <w:sz w:val="22"/>
              </w:rPr>
              <w:t>24,400</w:t>
            </w:r>
          </w:p>
        </w:tc>
        <w:tc>
          <w:tcPr>
            <w:tcW w:w="1558" w:type="dxa"/>
            <w:tcBorders>
              <w:top w:val="single" w:sz="4" w:space="0" w:color="auto"/>
              <w:left w:val="single" w:sz="4" w:space="0" w:color="auto"/>
              <w:bottom w:val="single" w:sz="4" w:space="0" w:color="auto"/>
              <w:right w:val="single" w:sz="4" w:space="0" w:color="auto"/>
            </w:tcBorders>
            <w:vAlign w:val="center"/>
          </w:tcPr>
          <w:p w14:paraId="66BE5581" w14:textId="25EF00E0" w:rsidR="00CD4EFA" w:rsidRPr="0037038C" w:rsidRDefault="00CD4EFA" w:rsidP="00CD4EFA">
            <w:pPr>
              <w:jc w:val="center"/>
              <w:rPr>
                <w:sz w:val="22"/>
              </w:rPr>
            </w:pPr>
            <w:r>
              <w:rPr>
                <w:color w:val="000000"/>
                <w:sz w:val="22"/>
              </w:rPr>
              <w:t>11,100</w:t>
            </w:r>
          </w:p>
        </w:tc>
        <w:tc>
          <w:tcPr>
            <w:tcW w:w="1559" w:type="dxa"/>
            <w:tcBorders>
              <w:top w:val="single" w:sz="4" w:space="0" w:color="auto"/>
              <w:left w:val="single" w:sz="4" w:space="0" w:color="auto"/>
              <w:bottom w:val="single" w:sz="4" w:space="0" w:color="auto"/>
              <w:right w:val="single" w:sz="4" w:space="0" w:color="auto"/>
            </w:tcBorders>
            <w:vAlign w:val="center"/>
          </w:tcPr>
          <w:p w14:paraId="2EE328E1" w14:textId="18A9439B" w:rsidR="00CD4EFA" w:rsidRPr="0037038C" w:rsidRDefault="00CD4EFA" w:rsidP="00CD4EFA">
            <w:pPr>
              <w:jc w:val="center"/>
              <w:rPr>
                <w:sz w:val="22"/>
              </w:rPr>
            </w:pPr>
            <w:r>
              <w:rPr>
                <w:color w:val="000000"/>
                <w:sz w:val="22"/>
              </w:rPr>
              <w:t>10,200</w:t>
            </w:r>
          </w:p>
        </w:tc>
      </w:tr>
      <w:tr w:rsidR="00CD4EFA" w:rsidRPr="0069660B" w14:paraId="76FBF968" w14:textId="77777777" w:rsidTr="0037038C">
        <w:trPr>
          <w:trHeight w:val="288"/>
        </w:trPr>
        <w:tc>
          <w:tcPr>
            <w:tcW w:w="1558" w:type="dxa"/>
            <w:tcBorders>
              <w:top w:val="single" w:sz="4" w:space="0" w:color="auto"/>
              <w:left w:val="single" w:sz="4" w:space="0" w:color="auto"/>
              <w:bottom w:val="single" w:sz="4" w:space="0" w:color="auto"/>
              <w:right w:val="single" w:sz="4" w:space="0" w:color="auto"/>
            </w:tcBorders>
            <w:vAlign w:val="center"/>
            <w:hideMark/>
          </w:tcPr>
          <w:p w14:paraId="406AC077" w14:textId="77777777" w:rsidR="00CD4EFA" w:rsidRPr="0069660B" w:rsidRDefault="00CD4EFA" w:rsidP="00CD4EFA">
            <w:pPr>
              <w:jc w:val="center"/>
              <w:rPr>
                <w:sz w:val="22"/>
              </w:rPr>
            </w:pPr>
            <w:r w:rsidRPr="0069660B">
              <w:rPr>
                <w:sz w:val="22"/>
              </w:rPr>
              <w:t>2016</w:t>
            </w:r>
          </w:p>
        </w:tc>
        <w:tc>
          <w:tcPr>
            <w:tcW w:w="1558" w:type="dxa"/>
            <w:tcBorders>
              <w:top w:val="single" w:sz="4" w:space="0" w:color="auto"/>
              <w:left w:val="single" w:sz="4" w:space="0" w:color="auto"/>
              <w:bottom w:val="single" w:sz="4" w:space="0" w:color="auto"/>
              <w:right w:val="single" w:sz="4" w:space="0" w:color="auto"/>
            </w:tcBorders>
            <w:vAlign w:val="center"/>
          </w:tcPr>
          <w:p w14:paraId="5A666E3E" w14:textId="1F018AD4" w:rsidR="00CD4EFA" w:rsidRPr="0037038C" w:rsidRDefault="00CD4EFA" w:rsidP="00CD4EFA">
            <w:pPr>
              <w:jc w:val="center"/>
              <w:rPr>
                <w:sz w:val="22"/>
              </w:rPr>
            </w:pPr>
            <w:r>
              <w:rPr>
                <w:color w:val="000000"/>
                <w:sz w:val="22"/>
              </w:rPr>
              <w:t>49,900</w:t>
            </w:r>
          </w:p>
        </w:tc>
        <w:tc>
          <w:tcPr>
            <w:tcW w:w="1559" w:type="dxa"/>
            <w:tcBorders>
              <w:top w:val="single" w:sz="4" w:space="0" w:color="auto"/>
              <w:left w:val="single" w:sz="4" w:space="0" w:color="auto"/>
              <w:bottom w:val="single" w:sz="4" w:space="0" w:color="auto"/>
              <w:right w:val="single" w:sz="4" w:space="0" w:color="auto"/>
            </w:tcBorders>
            <w:vAlign w:val="center"/>
          </w:tcPr>
          <w:p w14:paraId="1E6DF062" w14:textId="08144415" w:rsidR="00CD4EFA" w:rsidRPr="0037038C" w:rsidRDefault="00CD4EFA" w:rsidP="00CD4EFA">
            <w:pPr>
              <w:jc w:val="center"/>
              <w:rPr>
                <w:sz w:val="22"/>
              </w:rPr>
            </w:pPr>
            <w:r>
              <w:rPr>
                <w:color w:val="000000"/>
                <w:sz w:val="22"/>
              </w:rPr>
              <w:t>38,600</w:t>
            </w:r>
          </w:p>
        </w:tc>
        <w:tc>
          <w:tcPr>
            <w:tcW w:w="1558" w:type="dxa"/>
            <w:tcBorders>
              <w:top w:val="single" w:sz="4" w:space="0" w:color="auto"/>
              <w:left w:val="single" w:sz="4" w:space="0" w:color="auto"/>
              <w:bottom w:val="single" w:sz="4" w:space="0" w:color="auto"/>
              <w:right w:val="single" w:sz="4" w:space="0" w:color="auto"/>
            </w:tcBorders>
            <w:vAlign w:val="center"/>
          </w:tcPr>
          <w:p w14:paraId="26A038A3" w14:textId="55B88460" w:rsidR="00CD4EFA" w:rsidRPr="0037038C" w:rsidRDefault="00CD4EFA" w:rsidP="00CD4EFA">
            <w:pPr>
              <w:jc w:val="center"/>
              <w:rPr>
                <w:sz w:val="22"/>
              </w:rPr>
            </w:pPr>
            <w:r>
              <w:rPr>
                <w:color w:val="000000"/>
                <w:sz w:val="22"/>
              </w:rPr>
              <w:t>26,000</w:t>
            </w:r>
          </w:p>
        </w:tc>
        <w:tc>
          <w:tcPr>
            <w:tcW w:w="1558" w:type="dxa"/>
            <w:tcBorders>
              <w:top w:val="single" w:sz="4" w:space="0" w:color="auto"/>
              <w:left w:val="single" w:sz="4" w:space="0" w:color="auto"/>
              <w:bottom w:val="single" w:sz="4" w:space="0" w:color="auto"/>
              <w:right w:val="single" w:sz="4" w:space="0" w:color="auto"/>
            </w:tcBorders>
            <w:vAlign w:val="center"/>
          </w:tcPr>
          <w:p w14:paraId="6BA97F35" w14:textId="01FDF185" w:rsidR="00CD4EFA" w:rsidRPr="0037038C" w:rsidRDefault="00CD4EFA" w:rsidP="00CD4EFA">
            <w:pPr>
              <w:jc w:val="center"/>
              <w:rPr>
                <w:sz w:val="22"/>
              </w:rPr>
            </w:pPr>
            <w:r>
              <w:rPr>
                <w:color w:val="000000"/>
                <w:sz w:val="22"/>
              </w:rPr>
              <w:t>8,400</w:t>
            </w:r>
          </w:p>
        </w:tc>
        <w:tc>
          <w:tcPr>
            <w:tcW w:w="1559" w:type="dxa"/>
            <w:tcBorders>
              <w:top w:val="single" w:sz="4" w:space="0" w:color="auto"/>
              <w:left w:val="single" w:sz="4" w:space="0" w:color="auto"/>
              <w:bottom w:val="single" w:sz="4" w:space="0" w:color="auto"/>
              <w:right w:val="single" w:sz="4" w:space="0" w:color="auto"/>
            </w:tcBorders>
            <w:vAlign w:val="center"/>
          </w:tcPr>
          <w:p w14:paraId="608204B8" w14:textId="26F901E8" w:rsidR="00CD4EFA" w:rsidRPr="0037038C" w:rsidRDefault="00CD4EFA" w:rsidP="00CD4EFA">
            <w:pPr>
              <w:jc w:val="center"/>
              <w:rPr>
                <w:sz w:val="22"/>
              </w:rPr>
            </w:pPr>
            <w:r>
              <w:rPr>
                <w:color w:val="000000"/>
                <w:sz w:val="22"/>
              </w:rPr>
              <w:t>7,700</w:t>
            </w:r>
          </w:p>
        </w:tc>
      </w:tr>
      <w:tr w:rsidR="00CD4EFA" w:rsidRPr="0069660B" w14:paraId="2531B03D" w14:textId="77777777" w:rsidTr="0037038C">
        <w:trPr>
          <w:trHeight w:val="288"/>
        </w:trPr>
        <w:tc>
          <w:tcPr>
            <w:tcW w:w="1558" w:type="dxa"/>
            <w:tcBorders>
              <w:top w:val="single" w:sz="4" w:space="0" w:color="auto"/>
              <w:left w:val="single" w:sz="4" w:space="0" w:color="auto"/>
              <w:bottom w:val="single" w:sz="4" w:space="0" w:color="auto"/>
              <w:right w:val="single" w:sz="4" w:space="0" w:color="auto"/>
            </w:tcBorders>
            <w:vAlign w:val="center"/>
            <w:hideMark/>
          </w:tcPr>
          <w:p w14:paraId="3B9C0092" w14:textId="77777777" w:rsidR="00CD4EFA" w:rsidRPr="0069660B" w:rsidRDefault="00CD4EFA" w:rsidP="00CD4EFA">
            <w:pPr>
              <w:jc w:val="center"/>
              <w:rPr>
                <w:sz w:val="22"/>
              </w:rPr>
            </w:pPr>
            <w:r w:rsidRPr="0069660B">
              <w:rPr>
                <w:sz w:val="22"/>
              </w:rPr>
              <w:t>2017</w:t>
            </w:r>
          </w:p>
        </w:tc>
        <w:tc>
          <w:tcPr>
            <w:tcW w:w="1558" w:type="dxa"/>
            <w:tcBorders>
              <w:top w:val="single" w:sz="4" w:space="0" w:color="auto"/>
              <w:left w:val="single" w:sz="4" w:space="0" w:color="auto"/>
              <w:bottom w:val="single" w:sz="4" w:space="0" w:color="auto"/>
              <w:right w:val="single" w:sz="4" w:space="0" w:color="auto"/>
            </w:tcBorders>
            <w:vAlign w:val="center"/>
          </w:tcPr>
          <w:p w14:paraId="6ACEA931" w14:textId="38DFC32E" w:rsidR="00CD4EFA" w:rsidRPr="0037038C" w:rsidRDefault="00CD4EFA" w:rsidP="00CD4EFA">
            <w:pPr>
              <w:jc w:val="center"/>
              <w:rPr>
                <w:sz w:val="22"/>
              </w:rPr>
            </w:pPr>
            <w:r>
              <w:rPr>
                <w:color w:val="000000"/>
                <w:sz w:val="22"/>
              </w:rPr>
              <w:t>29,200</w:t>
            </w:r>
          </w:p>
        </w:tc>
        <w:tc>
          <w:tcPr>
            <w:tcW w:w="1559" w:type="dxa"/>
            <w:tcBorders>
              <w:top w:val="single" w:sz="4" w:space="0" w:color="auto"/>
              <w:left w:val="single" w:sz="4" w:space="0" w:color="auto"/>
              <w:bottom w:val="single" w:sz="4" w:space="0" w:color="auto"/>
              <w:right w:val="single" w:sz="4" w:space="0" w:color="auto"/>
            </w:tcBorders>
            <w:vAlign w:val="center"/>
          </w:tcPr>
          <w:p w14:paraId="233637F1" w14:textId="341E16F1" w:rsidR="00CD4EFA" w:rsidRPr="0037038C" w:rsidRDefault="00CD4EFA" w:rsidP="00CD4EFA">
            <w:pPr>
              <w:jc w:val="center"/>
              <w:rPr>
                <w:sz w:val="22"/>
              </w:rPr>
            </w:pPr>
            <w:r>
              <w:rPr>
                <w:color w:val="000000"/>
                <w:sz w:val="22"/>
              </w:rPr>
              <w:t>35,700</w:t>
            </w:r>
          </w:p>
        </w:tc>
        <w:tc>
          <w:tcPr>
            <w:tcW w:w="1558" w:type="dxa"/>
            <w:tcBorders>
              <w:top w:val="single" w:sz="4" w:space="0" w:color="auto"/>
              <w:left w:val="single" w:sz="4" w:space="0" w:color="auto"/>
              <w:bottom w:val="single" w:sz="4" w:space="0" w:color="auto"/>
              <w:right w:val="single" w:sz="4" w:space="0" w:color="auto"/>
            </w:tcBorders>
            <w:vAlign w:val="center"/>
          </w:tcPr>
          <w:p w14:paraId="153DB9EF" w14:textId="4D024846" w:rsidR="00CD4EFA" w:rsidRPr="0037038C" w:rsidRDefault="00CD4EFA" w:rsidP="00CD4EFA">
            <w:pPr>
              <w:jc w:val="center"/>
              <w:rPr>
                <w:sz w:val="22"/>
              </w:rPr>
            </w:pPr>
            <w:r>
              <w:rPr>
                <w:color w:val="000000"/>
                <w:sz w:val="22"/>
              </w:rPr>
              <w:t>24,900</w:t>
            </w:r>
          </w:p>
        </w:tc>
        <w:tc>
          <w:tcPr>
            <w:tcW w:w="1558" w:type="dxa"/>
            <w:tcBorders>
              <w:top w:val="single" w:sz="4" w:space="0" w:color="auto"/>
              <w:left w:val="single" w:sz="4" w:space="0" w:color="auto"/>
              <w:bottom w:val="single" w:sz="4" w:space="0" w:color="auto"/>
              <w:right w:val="single" w:sz="4" w:space="0" w:color="auto"/>
            </w:tcBorders>
            <w:vAlign w:val="center"/>
          </w:tcPr>
          <w:p w14:paraId="7C12C67C" w14:textId="49BE7C90" w:rsidR="00CD4EFA" w:rsidRPr="0037038C" w:rsidRDefault="00CD4EFA" w:rsidP="00CD4EFA">
            <w:pPr>
              <w:jc w:val="center"/>
              <w:rPr>
                <w:sz w:val="22"/>
              </w:rPr>
            </w:pPr>
            <w:r>
              <w:rPr>
                <w:color w:val="000000"/>
                <w:sz w:val="22"/>
              </w:rPr>
              <w:t>8,600</w:t>
            </w:r>
          </w:p>
        </w:tc>
        <w:tc>
          <w:tcPr>
            <w:tcW w:w="1559" w:type="dxa"/>
            <w:tcBorders>
              <w:top w:val="single" w:sz="4" w:space="0" w:color="auto"/>
              <w:left w:val="single" w:sz="4" w:space="0" w:color="auto"/>
              <w:bottom w:val="single" w:sz="4" w:space="0" w:color="auto"/>
              <w:right w:val="single" w:sz="4" w:space="0" w:color="auto"/>
            </w:tcBorders>
            <w:vAlign w:val="center"/>
          </w:tcPr>
          <w:p w14:paraId="775579E1" w14:textId="1D0452DD" w:rsidR="00CD4EFA" w:rsidRPr="0037038C" w:rsidRDefault="00CD4EFA" w:rsidP="00CD4EFA">
            <w:pPr>
              <w:jc w:val="center"/>
              <w:rPr>
                <w:sz w:val="22"/>
              </w:rPr>
            </w:pPr>
            <w:r>
              <w:rPr>
                <w:color w:val="000000"/>
                <w:sz w:val="22"/>
              </w:rPr>
              <w:t>7,700</w:t>
            </w:r>
          </w:p>
        </w:tc>
      </w:tr>
      <w:tr w:rsidR="005C40B0" w:rsidRPr="0069660B" w14:paraId="3F15227B" w14:textId="77777777" w:rsidTr="0037038C">
        <w:trPr>
          <w:trHeight w:val="288"/>
        </w:trPr>
        <w:tc>
          <w:tcPr>
            <w:tcW w:w="1558" w:type="dxa"/>
            <w:tcBorders>
              <w:top w:val="single" w:sz="4" w:space="0" w:color="auto"/>
              <w:left w:val="single" w:sz="4" w:space="0" w:color="auto"/>
              <w:bottom w:val="single" w:sz="4" w:space="0" w:color="auto"/>
              <w:right w:val="single" w:sz="4" w:space="0" w:color="auto"/>
            </w:tcBorders>
            <w:vAlign w:val="center"/>
          </w:tcPr>
          <w:p w14:paraId="2807552C" w14:textId="1C676FBE" w:rsidR="005C40B0" w:rsidRPr="0069660B" w:rsidRDefault="005C40B0" w:rsidP="005C40B0">
            <w:pPr>
              <w:jc w:val="center"/>
              <w:rPr>
                <w:sz w:val="22"/>
              </w:rPr>
            </w:pPr>
            <w:r>
              <w:rPr>
                <w:sz w:val="22"/>
              </w:rPr>
              <w:t>2018</w:t>
            </w:r>
          </w:p>
        </w:tc>
        <w:tc>
          <w:tcPr>
            <w:tcW w:w="1558" w:type="dxa"/>
            <w:tcBorders>
              <w:top w:val="single" w:sz="4" w:space="0" w:color="auto"/>
              <w:left w:val="single" w:sz="4" w:space="0" w:color="auto"/>
              <w:bottom w:val="single" w:sz="4" w:space="0" w:color="auto"/>
              <w:right w:val="single" w:sz="4" w:space="0" w:color="auto"/>
            </w:tcBorders>
            <w:vAlign w:val="center"/>
          </w:tcPr>
          <w:p w14:paraId="3C5B4483" w14:textId="165B8A79" w:rsidR="005C40B0" w:rsidRPr="005C40B0" w:rsidRDefault="005C40B0" w:rsidP="005C40B0">
            <w:pPr>
              <w:jc w:val="center"/>
              <w:rPr>
                <w:sz w:val="22"/>
              </w:rPr>
            </w:pPr>
            <w:r w:rsidRPr="005C40B0">
              <w:rPr>
                <w:color w:val="000000"/>
                <w:sz w:val="22"/>
              </w:rPr>
              <w:t>27,700</w:t>
            </w:r>
          </w:p>
        </w:tc>
        <w:tc>
          <w:tcPr>
            <w:tcW w:w="1559" w:type="dxa"/>
            <w:tcBorders>
              <w:top w:val="single" w:sz="4" w:space="0" w:color="auto"/>
              <w:left w:val="single" w:sz="4" w:space="0" w:color="auto"/>
              <w:bottom w:val="single" w:sz="4" w:space="0" w:color="auto"/>
              <w:right w:val="single" w:sz="4" w:space="0" w:color="auto"/>
            </w:tcBorders>
            <w:vAlign w:val="center"/>
          </w:tcPr>
          <w:p w14:paraId="6FF07ABB" w14:textId="2428928C" w:rsidR="005C40B0" w:rsidRPr="005C40B0" w:rsidRDefault="005C40B0" w:rsidP="005C40B0">
            <w:pPr>
              <w:jc w:val="center"/>
              <w:rPr>
                <w:sz w:val="22"/>
              </w:rPr>
            </w:pPr>
            <w:r w:rsidRPr="005C40B0">
              <w:rPr>
                <w:color w:val="000000"/>
                <w:sz w:val="22"/>
              </w:rPr>
              <w:t>31,500</w:t>
            </w:r>
          </w:p>
        </w:tc>
        <w:tc>
          <w:tcPr>
            <w:tcW w:w="1558" w:type="dxa"/>
            <w:tcBorders>
              <w:top w:val="single" w:sz="4" w:space="0" w:color="auto"/>
              <w:left w:val="single" w:sz="4" w:space="0" w:color="auto"/>
              <w:bottom w:val="single" w:sz="4" w:space="0" w:color="auto"/>
              <w:right w:val="single" w:sz="4" w:space="0" w:color="auto"/>
            </w:tcBorders>
            <w:vAlign w:val="center"/>
          </w:tcPr>
          <w:p w14:paraId="14603307" w14:textId="3DD9B561" w:rsidR="005C40B0" w:rsidRPr="005C40B0" w:rsidRDefault="005C40B0" w:rsidP="005C40B0">
            <w:pPr>
              <w:jc w:val="center"/>
              <w:rPr>
                <w:sz w:val="22"/>
              </w:rPr>
            </w:pPr>
            <w:r w:rsidRPr="005C40B0">
              <w:rPr>
                <w:color w:val="000000"/>
                <w:sz w:val="22"/>
              </w:rPr>
              <w:t>23,300</w:t>
            </w:r>
          </w:p>
        </w:tc>
        <w:tc>
          <w:tcPr>
            <w:tcW w:w="1558" w:type="dxa"/>
            <w:tcBorders>
              <w:top w:val="single" w:sz="4" w:space="0" w:color="auto"/>
              <w:left w:val="single" w:sz="4" w:space="0" w:color="auto"/>
              <w:bottom w:val="single" w:sz="4" w:space="0" w:color="auto"/>
              <w:right w:val="single" w:sz="4" w:space="0" w:color="auto"/>
            </w:tcBorders>
            <w:vAlign w:val="center"/>
          </w:tcPr>
          <w:p w14:paraId="49925A6D" w14:textId="31301CBE" w:rsidR="005C40B0" w:rsidRPr="0037038C" w:rsidRDefault="005C40B0" w:rsidP="005C40B0">
            <w:pPr>
              <w:jc w:val="center"/>
              <w:rPr>
                <w:sz w:val="22"/>
              </w:rPr>
            </w:pPr>
            <w:r>
              <w:rPr>
                <w:color w:val="000000"/>
                <w:sz w:val="22"/>
              </w:rPr>
              <w:t>11,500</w:t>
            </w:r>
          </w:p>
        </w:tc>
        <w:tc>
          <w:tcPr>
            <w:tcW w:w="1559" w:type="dxa"/>
            <w:tcBorders>
              <w:top w:val="single" w:sz="4" w:space="0" w:color="auto"/>
              <w:left w:val="single" w:sz="4" w:space="0" w:color="auto"/>
              <w:bottom w:val="single" w:sz="4" w:space="0" w:color="auto"/>
              <w:right w:val="single" w:sz="4" w:space="0" w:color="auto"/>
            </w:tcBorders>
            <w:vAlign w:val="center"/>
          </w:tcPr>
          <w:p w14:paraId="0EA3DAFF" w14:textId="231C5DF8" w:rsidR="005C40B0" w:rsidRPr="0037038C" w:rsidRDefault="005C40B0" w:rsidP="005C40B0">
            <w:pPr>
              <w:jc w:val="center"/>
              <w:rPr>
                <w:sz w:val="22"/>
              </w:rPr>
            </w:pPr>
            <w:r>
              <w:rPr>
                <w:color w:val="000000"/>
                <w:sz w:val="22"/>
              </w:rPr>
              <w:t>10,400</w:t>
            </w:r>
          </w:p>
        </w:tc>
      </w:tr>
      <w:tr w:rsidR="005C40B0" w:rsidRPr="0069660B" w14:paraId="3CFAB5E0" w14:textId="77777777" w:rsidTr="00D9400D">
        <w:trPr>
          <w:trHeight w:val="288"/>
        </w:trPr>
        <w:tc>
          <w:tcPr>
            <w:tcW w:w="1558" w:type="dxa"/>
            <w:tcBorders>
              <w:top w:val="single" w:sz="4" w:space="0" w:color="auto"/>
              <w:left w:val="single" w:sz="4" w:space="0" w:color="auto"/>
              <w:bottom w:val="single" w:sz="4" w:space="0" w:color="auto"/>
              <w:right w:val="single" w:sz="4" w:space="0" w:color="auto"/>
            </w:tcBorders>
            <w:vAlign w:val="center"/>
          </w:tcPr>
          <w:p w14:paraId="1A45F650" w14:textId="2B23B6BB" w:rsidR="005C40B0" w:rsidRDefault="005C40B0" w:rsidP="005C40B0">
            <w:pPr>
              <w:jc w:val="center"/>
              <w:rPr>
                <w:sz w:val="22"/>
              </w:rPr>
            </w:pPr>
            <w:r>
              <w:rPr>
                <w:sz w:val="22"/>
              </w:rPr>
              <w:t>2019</w:t>
            </w:r>
          </w:p>
        </w:tc>
        <w:tc>
          <w:tcPr>
            <w:tcW w:w="1558" w:type="dxa"/>
            <w:tcBorders>
              <w:top w:val="single" w:sz="4" w:space="0" w:color="auto"/>
              <w:left w:val="single" w:sz="4" w:space="0" w:color="auto"/>
              <w:bottom w:val="single" w:sz="4" w:space="0" w:color="auto"/>
              <w:right w:val="single" w:sz="4" w:space="0" w:color="auto"/>
            </w:tcBorders>
            <w:shd w:val="clear" w:color="auto" w:fill="auto"/>
            <w:vAlign w:val="center"/>
          </w:tcPr>
          <w:p w14:paraId="09072180" w14:textId="57090A2F" w:rsidR="005C40B0" w:rsidRPr="005C40B0" w:rsidRDefault="005C40B0" w:rsidP="005C40B0">
            <w:pPr>
              <w:jc w:val="center"/>
              <w:rPr>
                <w:sz w:val="22"/>
              </w:rPr>
            </w:pPr>
            <w:r w:rsidRPr="005C40B0">
              <w:rPr>
                <w:color w:val="000000"/>
                <w:sz w:val="22"/>
              </w:rPr>
              <w:t>53,000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719CD515" w14:textId="5D4F5598" w:rsidR="005C40B0" w:rsidRPr="005C40B0" w:rsidRDefault="005C40B0" w:rsidP="005C40B0">
            <w:pPr>
              <w:jc w:val="center"/>
              <w:rPr>
                <w:sz w:val="22"/>
              </w:rPr>
            </w:pPr>
            <w:r w:rsidRPr="005C40B0">
              <w:rPr>
                <w:color w:val="000000"/>
                <w:sz w:val="22"/>
              </w:rPr>
              <w:t>38,800</w:t>
            </w:r>
          </w:p>
        </w:tc>
        <w:tc>
          <w:tcPr>
            <w:tcW w:w="1558" w:type="dxa"/>
            <w:tcBorders>
              <w:top w:val="single" w:sz="4" w:space="0" w:color="auto"/>
              <w:left w:val="single" w:sz="4" w:space="0" w:color="auto"/>
              <w:bottom w:val="single" w:sz="4" w:space="0" w:color="auto"/>
              <w:right w:val="single" w:sz="4" w:space="0" w:color="auto"/>
            </w:tcBorders>
            <w:shd w:val="clear" w:color="auto" w:fill="auto"/>
            <w:vAlign w:val="center"/>
          </w:tcPr>
          <w:p w14:paraId="28A77F91" w14:textId="0158C678" w:rsidR="005C40B0" w:rsidRPr="005C40B0" w:rsidRDefault="005C40B0" w:rsidP="005C40B0">
            <w:pPr>
              <w:jc w:val="center"/>
              <w:rPr>
                <w:sz w:val="22"/>
              </w:rPr>
            </w:pPr>
            <w:r w:rsidRPr="005C40B0">
              <w:rPr>
                <w:color w:val="000000"/>
                <w:sz w:val="22"/>
              </w:rPr>
              <w:t>28,000</w:t>
            </w:r>
          </w:p>
        </w:tc>
        <w:tc>
          <w:tcPr>
            <w:tcW w:w="1558" w:type="dxa"/>
            <w:tcBorders>
              <w:top w:val="single" w:sz="4" w:space="0" w:color="auto"/>
              <w:left w:val="single" w:sz="4" w:space="0" w:color="auto"/>
              <w:bottom w:val="single" w:sz="4" w:space="0" w:color="auto"/>
              <w:right w:val="single" w:sz="4" w:space="0" w:color="auto"/>
            </w:tcBorders>
            <w:vAlign w:val="center"/>
          </w:tcPr>
          <w:p w14:paraId="3CD597BF" w14:textId="575AE52E" w:rsidR="005C40B0" w:rsidRPr="0037038C" w:rsidRDefault="005C40B0" w:rsidP="005C40B0">
            <w:pPr>
              <w:jc w:val="center"/>
              <w:rPr>
                <w:sz w:val="22"/>
              </w:rPr>
            </w:pPr>
            <w:r>
              <w:rPr>
                <w:color w:val="000000"/>
                <w:sz w:val="22"/>
              </w:rPr>
              <w:t>7,500</w:t>
            </w:r>
          </w:p>
        </w:tc>
        <w:tc>
          <w:tcPr>
            <w:tcW w:w="1559" w:type="dxa"/>
            <w:tcBorders>
              <w:top w:val="single" w:sz="4" w:space="0" w:color="auto"/>
              <w:left w:val="single" w:sz="4" w:space="0" w:color="auto"/>
              <w:bottom w:val="single" w:sz="4" w:space="0" w:color="auto"/>
              <w:right w:val="single" w:sz="4" w:space="0" w:color="auto"/>
            </w:tcBorders>
            <w:vAlign w:val="center"/>
          </w:tcPr>
          <w:p w14:paraId="692B4B75" w14:textId="5516EE33" w:rsidR="005C40B0" w:rsidRPr="0037038C" w:rsidRDefault="005C40B0" w:rsidP="005C40B0">
            <w:pPr>
              <w:jc w:val="center"/>
              <w:rPr>
                <w:sz w:val="22"/>
              </w:rPr>
            </w:pPr>
            <w:r>
              <w:rPr>
                <w:color w:val="000000"/>
                <w:sz w:val="22"/>
              </w:rPr>
              <w:t>6,700</w:t>
            </w:r>
          </w:p>
        </w:tc>
      </w:tr>
      <w:tr w:rsidR="005C40B0" w:rsidRPr="0069660B" w14:paraId="4D68FD84" w14:textId="77777777" w:rsidTr="00D9400D">
        <w:trPr>
          <w:trHeight w:val="288"/>
        </w:trPr>
        <w:tc>
          <w:tcPr>
            <w:tcW w:w="1558" w:type="dxa"/>
            <w:tcBorders>
              <w:top w:val="single" w:sz="4" w:space="0" w:color="auto"/>
              <w:left w:val="single" w:sz="4" w:space="0" w:color="auto"/>
              <w:bottom w:val="single" w:sz="4" w:space="0" w:color="auto"/>
              <w:right w:val="single" w:sz="4" w:space="0" w:color="auto"/>
            </w:tcBorders>
            <w:vAlign w:val="center"/>
          </w:tcPr>
          <w:p w14:paraId="49073F87" w14:textId="695205DB" w:rsidR="005C40B0" w:rsidRDefault="005C40B0" w:rsidP="005C40B0">
            <w:pPr>
              <w:jc w:val="center"/>
              <w:rPr>
                <w:sz w:val="22"/>
              </w:rPr>
            </w:pPr>
            <w:r>
              <w:rPr>
                <w:sz w:val="22"/>
              </w:rPr>
              <w:t>2020</w:t>
            </w:r>
          </w:p>
        </w:tc>
        <w:tc>
          <w:tcPr>
            <w:tcW w:w="1558" w:type="dxa"/>
            <w:tcBorders>
              <w:top w:val="single" w:sz="4" w:space="0" w:color="auto"/>
              <w:left w:val="single" w:sz="4" w:space="0" w:color="auto"/>
              <w:bottom w:val="single" w:sz="4" w:space="0" w:color="auto"/>
              <w:right w:val="single" w:sz="4" w:space="0" w:color="auto"/>
            </w:tcBorders>
            <w:shd w:val="clear" w:color="auto" w:fill="auto"/>
            <w:vAlign w:val="center"/>
          </w:tcPr>
          <w:p w14:paraId="361CFA0E" w14:textId="56C2C531" w:rsidR="005C40B0" w:rsidRPr="005C40B0" w:rsidRDefault="005C40B0" w:rsidP="005C40B0">
            <w:pPr>
              <w:jc w:val="center"/>
              <w:rPr>
                <w:sz w:val="22"/>
              </w:rPr>
            </w:pPr>
            <w:r w:rsidRPr="005C40B0">
              <w:rPr>
                <w:color w:val="000000"/>
                <w:sz w:val="22"/>
              </w:rPr>
              <w:t>55,700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10B1C707" w14:textId="59B995BC" w:rsidR="005C40B0" w:rsidRPr="005C40B0" w:rsidRDefault="005C40B0" w:rsidP="005C40B0">
            <w:pPr>
              <w:jc w:val="center"/>
              <w:rPr>
                <w:sz w:val="22"/>
              </w:rPr>
            </w:pPr>
            <w:r w:rsidRPr="005C40B0">
              <w:rPr>
                <w:color w:val="000000"/>
                <w:sz w:val="22"/>
              </w:rPr>
              <w:t>49,900</w:t>
            </w:r>
          </w:p>
        </w:tc>
        <w:tc>
          <w:tcPr>
            <w:tcW w:w="1558" w:type="dxa"/>
            <w:tcBorders>
              <w:top w:val="single" w:sz="4" w:space="0" w:color="auto"/>
              <w:left w:val="single" w:sz="4" w:space="0" w:color="auto"/>
              <w:bottom w:val="single" w:sz="4" w:space="0" w:color="auto"/>
              <w:right w:val="single" w:sz="4" w:space="0" w:color="auto"/>
            </w:tcBorders>
            <w:shd w:val="clear" w:color="auto" w:fill="auto"/>
            <w:vAlign w:val="center"/>
          </w:tcPr>
          <w:p w14:paraId="0F2D0627" w14:textId="337CB9E4" w:rsidR="005C40B0" w:rsidRPr="005C40B0" w:rsidRDefault="005C40B0" w:rsidP="005C40B0">
            <w:pPr>
              <w:jc w:val="center"/>
              <w:rPr>
                <w:sz w:val="22"/>
              </w:rPr>
            </w:pPr>
            <w:r w:rsidRPr="005C40B0">
              <w:rPr>
                <w:color w:val="000000"/>
                <w:sz w:val="22"/>
              </w:rPr>
              <w:t>26,600</w:t>
            </w:r>
          </w:p>
        </w:tc>
        <w:tc>
          <w:tcPr>
            <w:tcW w:w="1558" w:type="dxa"/>
            <w:tcBorders>
              <w:top w:val="single" w:sz="4" w:space="0" w:color="auto"/>
              <w:left w:val="single" w:sz="4" w:space="0" w:color="auto"/>
              <w:bottom w:val="single" w:sz="4" w:space="0" w:color="auto"/>
              <w:right w:val="single" w:sz="4" w:space="0" w:color="auto"/>
            </w:tcBorders>
            <w:vAlign w:val="center"/>
          </w:tcPr>
          <w:p w14:paraId="4D51B8E5" w14:textId="4B43570A" w:rsidR="005C40B0" w:rsidRPr="0037038C" w:rsidRDefault="005C40B0" w:rsidP="005C40B0">
            <w:pPr>
              <w:jc w:val="center"/>
              <w:rPr>
                <w:sz w:val="22"/>
              </w:rPr>
            </w:pPr>
            <w:r>
              <w:rPr>
                <w:color w:val="000000"/>
                <w:sz w:val="22"/>
              </w:rPr>
              <w:t>6,500</w:t>
            </w:r>
          </w:p>
        </w:tc>
        <w:tc>
          <w:tcPr>
            <w:tcW w:w="1559" w:type="dxa"/>
            <w:tcBorders>
              <w:top w:val="single" w:sz="4" w:space="0" w:color="auto"/>
              <w:left w:val="single" w:sz="4" w:space="0" w:color="auto"/>
              <w:bottom w:val="single" w:sz="4" w:space="0" w:color="auto"/>
              <w:right w:val="single" w:sz="4" w:space="0" w:color="auto"/>
            </w:tcBorders>
            <w:vAlign w:val="center"/>
          </w:tcPr>
          <w:p w14:paraId="532F01E8" w14:textId="716EFC1D" w:rsidR="005C40B0" w:rsidRPr="0037038C" w:rsidRDefault="005C40B0" w:rsidP="005C40B0">
            <w:pPr>
              <w:jc w:val="center"/>
              <w:rPr>
                <w:sz w:val="22"/>
              </w:rPr>
            </w:pPr>
            <w:r>
              <w:rPr>
                <w:color w:val="000000"/>
                <w:sz w:val="22"/>
              </w:rPr>
              <w:t>5,800</w:t>
            </w:r>
          </w:p>
        </w:tc>
      </w:tr>
      <w:tr w:rsidR="00D9400D" w:rsidRPr="0069660B" w14:paraId="09CF8AD7" w14:textId="77777777" w:rsidTr="0037038C">
        <w:trPr>
          <w:trHeight w:val="288"/>
        </w:trPr>
        <w:tc>
          <w:tcPr>
            <w:tcW w:w="155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5D328DEB" w14:textId="77777777" w:rsidR="00D9400D" w:rsidRDefault="00D9400D" w:rsidP="00D9400D">
            <w:pPr>
              <w:jc w:val="center"/>
              <w:rPr>
                <w:b/>
                <w:sz w:val="22"/>
              </w:rPr>
            </w:pPr>
            <w:r>
              <w:rPr>
                <w:b/>
                <w:sz w:val="22"/>
              </w:rPr>
              <w:t xml:space="preserve">Total, </w:t>
            </w:r>
          </w:p>
          <w:p w14:paraId="27E1F3BF" w14:textId="3C0A00C1" w:rsidR="00D9400D" w:rsidRPr="0069660B" w:rsidRDefault="00D9400D" w:rsidP="00D9400D">
            <w:pPr>
              <w:jc w:val="center"/>
              <w:rPr>
                <w:b/>
                <w:sz w:val="22"/>
              </w:rPr>
            </w:pPr>
            <w:r>
              <w:rPr>
                <w:b/>
                <w:sz w:val="22"/>
              </w:rPr>
              <w:t>2007-2020</w:t>
            </w:r>
          </w:p>
        </w:tc>
        <w:tc>
          <w:tcPr>
            <w:tcW w:w="155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2250AB79" w14:textId="642110E6" w:rsidR="00D9400D" w:rsidRPr="0037038C" w:rsidRDefault="00D9400D" w:rsidP="00D9400D">
            <w:pPr>
              <w:jc w:val="center"/>
              <w:rPr>
                <w:b/>
                <w:sz w:val="22"/>
              </w:rPr>
            </w:pPr>
            <w:r>
              <w:rPr>
                <w:b/>
                <w:bCs/>
                <w:color w:val="000000"/>
                <w:sz w:val="22"/>
              </w:rPr>
              <w:t>463,200</w:t>
            </w:r>
          </w:p>
        </w:tc>
        <w:tc>
          <w:tcPr>
            <w:tcW w:w="1559"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006C2EBF" w14:textId="7BE385A6" w:rsidR="00D9400D" w:rsidRPr="0037038C" w:rsidRDefault="00D9400D" w:rsidP="00D9400D">
            <w:pPr>
              <w:jc w:val="center"/>
              <w:rPr>
                <w:b/>
                <w:sz w:val="22"/>
              </w:rPr>
            </w:pPr>
            <w:r>
              <w:rPr>
                <w:b/>
                <w:bCs/>
                <w:color w:val="000000"/>
                <w:sz w:val="22"/>
              </w:rPr>
              <w:t>415,500</w:t>
            </w:r>
          </w:p>
        </w:tc>
        <w:tc>
          <w:tcPr>
            <w:tcW w:w="155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0BCF0692" w14:textId="0F1FAF30" w:rsidR="00D9400D" w:rsidRPr="0037038C" w:rsidRDefault="00D9400D" w:rsidP="00D9400D">
            <w:pPr>
              <w:jc w:val="center"/>
              <w:rPr>
                <w:b/>
                <w:sz w:val="22"/>
              </w:rPr>
            </w:pPr>
            <w:r>
              <w:rPr>
                <w:b/>
                <w:bCs/>
                <w:color w:val="000000"/>
                <w:sz w:val="22"/>
              </w:rPr>
              <w:t>271,500</w:t>
            </w:r>
          </w:p>
        </w:tc>
        <w:tc>
          <w:tcPr>
            <w:tcW w:w="155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203BB8B4" w14:textId="3D2D2BE7" w:rsidR="00D9400D" w:rsidRPr="0037038C" w:rsidRDefault="00D9400D" w:rsidP="00D9400D">
            <w:pPr>
              <w:jc w:val="center"/>
              <w:rPr>
                <w:b/>
                <w:sz w:val="22"/>
              </w:rPr>
            </w:pPr>
            <w:r>
              <w:rPr>
                <w:b/>
                <w:bCs/>
                <w:color w:val="000000"/>
                <w:sz w:val="22"/>
              </w:rPr>
              <w:t>109,000</w:t>
            </w:r>
          </w:p>
        </w:tc>
        <w:tc>
          <w:tcPr>
            <w:tcW w:w="1559"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2E298491" w14:textId="7A84C1F6" w:rsidR="00D9400D" w:rsidRPr="0037038C" w:rsidRDefault="00D9400D" w:rsidP="00D9400D">
            <w:pPr>
              <w:jc w:val="center"/>
              <w:rPr>
                <w:b/>
                <w:sz w:val="22"/>
              </w:rPr>
            </w:pPr>
            <w:r>
              <w:rPr>
                <w:b/>
                <w:bCs/>
                <w:color w:val="000000"/>
                <w:sz w:val="22"/>
              </w:rPr>
              <w:t>96,600</w:t>
            </w:r>
          </w:p>
        </w:tc>
      </w:tr>
      <w:tr w:rsidR="00D9400D" w:rsidRPr="0069660B" w14:paraId="05F5A5E5" w14:textId="77777777" w:rsidTr="0037038C">
        <w:trPr>
          <w:trHeight w:val="288"/>
        </w:trPr>
        <w:tc>
          <w:tcPr>
            <w:tcW w:w="155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E42E59B" w14:textId="2E8282A0" w:rsidR="00D9400D" w:rsidRPr="0069660B" w:rsidRDefault="00D9400D" w:rsidP="00D9400D">
            <w:pPr>
              <w:jc w:val="center"/>
              <w:rPr>
                <w:b/>
                <w:sz w:val="22"/>
              </w:rPr>
            </w:pPr>
            <w:r w:rsidRPr="0069660B">
              <w:rPr>
                <w:b/>
                <w:sz w:val="22"/>
              </w:rPr>
              <w:t>Average</w:t>
            </w:r>
            <w:r>
              <w:rPr>
                <w:b/>
                <w:sz w:val="22"/>
              </w:rPr>
              <w:t>, 2008-2020</w:t>
            </w:r>
          </w:p>
        </w:tc>
        <w:tc>
          <w:tcPr>
            <w:tcW w:w="155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676F5627" w14:textId="391BCBC7" w:rsidR="00D9400D" w:rsidRPr="0037038C" w:rsidRDefault="00D9400D" w:rsidP="00D9400D">
            <w:pPr>
              <w:jc w:val="center"/>
              <w:rPr>
                <w:b/>
                <w:sz w:val="22"/>
              </w:rPr>
            </w:pPr>
            <w:r>
              <w:rPr>
                <w:b/>
                <w:bCs/>
                <w:color w:val="000000"/>
                <w:sz w:val="22"/>
              </w:rPr>
              <w:t>34,400</w:t>
            </w:r>
          </w:p>
        </w:tc>
        <w:tc>
          <w:tcPr>
            <w:tcW w:w="1559"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2014DA08" w14:textId="1E0E3D12" w:rsidR="00D9400D" w:rsidRPr="0037038C" w:rsidRDefault="00D9400D" w:rsidP="00D9400D">
            <w:pPr>
              <w:jc w:val="center"/>
              <w:rPr>
                <w:b/>
                <w:sz w:val="22"/>
              </w:rPr>
            </w:pPr>
            <w:r>
              <w:rPr>
                <w:b/>
                <w:bCs/>
                <w:color w:val="000000"/>
                <w:sz w:val="22"/>
              </w:rPr>
              <w:t>31,000</w:t>
            </w:r>
          </w:p>
        </w:tc>
        <w:tc>
          <w:tcPr>
            <w:tcW w:w="155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35491745" w14:textId="5BAF33B4" w:rsidR="00D9400D" w:rsidRPr="0037038C" w:rsidRDefault="00D9400D" w:rsidP="00D9400D">
            <w:pPr>
              <w:jc w:val="center"/>
              <w:rPr>
                <w:b/>
                <w:sz w:val="22"/>
              </w:rPr>
            </w:pPr>
            <w:r>
              <w:rPr>
                <w:b/>
                <w:bCs/>
                <w:color w:val="000000"/>
                <w:sz w:val="22"/>
              </w:rPr>
              <w:t>20,600</w:t>
            </w:r>
          </w:p>
        </w:tc>
        <w:tc>
          <w:tcPr>
            <w:tcW w:w="155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500E8AA2" w14:textId="5172E49B" w:rsidR="00D9400D" w:rsidRPr="0037038C" w:rsidRDefault="00D9400D" w:rsidP="00D9400D">
            <w:pPr>
              <w:jc w:val="center"/>
              <w:rPr>
                <w:b/>
                <w:sz w:val="22"/>
              </w:rPr>
            </w:pPr>
            <w:r>
              <w:rPr>
                <w:b/>
                <w:bCs/>
                <w:color w:val="000000"/>
                <w:sz w:val="22"/>
              </w:rPr>
              <w:t>8,100</w:t>
            </w:r>
          </w:p>
        </w:tc>
        <w:tc>
          <w:tcPr>
            <w:tcW w:w="1559"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58E93727" w14:textId="343BA524" w:rsidR="00D9400D" w:rsidRPr="0037038C" w:rsidRDefault="00D9400D" w:rsidP="00D9400D">
            <w:pPr>
              <w:jc w:val="center"/>
              <w:rPr>
                <w:b/>
                <w:sz w:val="22"/>
              </w:rPr>
            </w:pPr>
            <w:r>
              <w:rPr>
                <w:b/>
                <w:bCs/>
                <w:color w:val="000000"/>
                <w:sz w:val="22"/>
              </w:rPr>
              <w:t>7,200</w:t>
            </w:r>
          </w:p>
        </w:tc>
      </w:tr>
    </w:tbl>
    <w:p w14:paraId="5A776960" w14:textId="475CFC2F" w:rsidR="00255869" w:rsidRPr="00255869" w:rsidRDefault="0037038C" w:rsidP="00255869">
      <w:pPr>
        <w:rPr>
          <w:sz w:val="20"/>
          <w:szCs w:val="20"/>
        </w:rPr>
      </w:pPr>
      <w:r>
        <w:rPr>
          <w:sz w:val="20"/>
          <w:szCs w:val="20"/>
          <w:vertAlign w:val="superscript"/>
        </w:rPr>
        <w:t>1</w:t>
      </w:r>
      <w:r>
        <w:rPr>
          <w:sz w:val="20"/>
          <w:szCs w:val="20"/>
        </w:rPr>
        <w:t xml:space="preserve"> </w:t>
      </w:r>
      <w:r w:rsidR="00255869" w:rsidRPr="00255869">
        <w:rPr>
          <w:sz w:val="20"/>
          <w:szCs w:val="20"/>
        </w:rPr>
        <w:t>The Program began January 2007.  Calculated average values exclude the incomplete Irrigation Year 2007</w:t>
      </w:r>
      <w:r w:rsidR="001D46DC">
        <w:rPr>
          <w:sz w:val="20"/>
          <w:szCs w:val="20"/>
        </w:rPr>
        <w:t>, which began November 20</w:t>
      </w:r>
      <w:r w:rsidR="004C2314">
        <w:rPr>
          <w:sz w:val="20"/>
          <w:szCs w:val="20"/>
        </w:rPr>
        <w:t>0</w:t>
      </w:r>
      <w:r w:rsidR="001D46DC">
        <w:rPr>
          <w:sz w:val="20"/>
          <w:szCs w:val="20"/>
        </w:rPr>
        <w:t>6</w:t>
      </w:r>
      <w:r w:rsidR="00255869" w:rsidRPr="00255869">
        <w:rPr>
          <w:sz w:val="20"/>
          <w:szCs w:val="20"/>
        </w:rPr>
        <w:t>.</w:t>
      </w:r>
      <w:r w:rsidR="00255869" w:rsidRPr="00255869">
        <w:rPr>
          <w:noProof/>
          <w:sz w:val="20"/>
          <w:szCs w:val="20"/>
        </w:rPr>
        <w:t xml:space="preserve"> </w:t>
      </w:r>
    </w:p>
    <w:p w14:paraId="1E607645" w14:textId="30379ACD" w:rsidR="00494FEF" w:rsidRDefault="00494FEF" w:rsidP="00B9798C">
      <w:pPr>
        <w:pStyle w:val="ListParagraph"/>
        <w:numPr>
          <w:ilvl w:val="0"/>
          <w:numId w:val="4"/>
        </w:numPr>
        <w:spacing w:before="240" w:after="240"/>
        <w:rPr>
          <w:b/>
        </w:rPr>
      </w:pPr>
      <w:r>
        <w:rPr>
          <w:b/>
        </w:rPr>
        <w:t>Phelps County Canal Groundwater Recharge Project</w:t>
      </w:r>
      <w:r w:rsidR="00DF4707">
        <w:rPr>
          <w:b/>
        </w:rPr>
        <w:t xml:space="preserve"> and Cook Recapture Well</w:t>
      </w:r>
    </w:p>
    <w:p w14:paraId="296711F2" w14:textId="02FFF588" w:rsidR="00594324" w:rsidRDefault="00651D8A" w:rsidP="00431C8F">
      <w:r>
        <w:t xml:space="preserve">The Phelps County Canal Groundwater Recharge Project </w:t>
      </w:r>
      <w:r w:rsidR="009119E2">
        <w:t>began</w:t>
      </w:r>
      <w:r>
        <w:t xml:space="preserve"> </w:t>
      </w:r>
      <w:r w:rsidR="008B6215">
        <w:t>with diversions for a pilot study beginning at the end of September 2011.</w:t>
      </w:r>
      <w:r w:rsidR="006A0BE0">
        <w:t xml:space="preserve">  </w:t>
      </w:r>
      <w:r>
        <w:t xml:space="preserve">Excess flows are diverted at CNPPID’s Tri-County Supply Canal headgate near North Platte and carried through that system to the Phelps County Canal </w:t>
      </w:r>
      <w:r w:rsidR="006A0BE0">
        <w:t>headgate.  Diversions into the Phelps County Canal are measured in a flume at Mile Post (MP) 1.6 and the canal is checked at MP 13.3 in order to pool water for recharge operations.  After the canal is filled for recharge, diversions of excess flows are adjusted to achieve an equilibrium between the diversion and seepage (recharge) rates.</w:t>
      </w:r>
      <w:r w:rsidR="007977EC">
        <w:t xml:space="preserve">  Threshold water table elevations were established for two monitoring wells in areas where high groundwater was observed </w:t>
      </w:r>
      <w:r w:rsidR="004D2BAF">
        <w:t>in 2011-2012</w:t>
      </w:r>
      <w:r w:rsidR="007977EC">
        <w:t xml:space="preserve">.  If those levels are exceeded, diversions into Phelps County Canal cannot be made for </w:t>
      </w:r>
      <w:r w:rsidR="00312B3B">
        <w:t>recharge</w:t>
      </w:r>
      <w:r w:rsidR="007977EC">
        <w:t xml:space="preserve">.  </w:t>
      </w:r>
      <w:r w:rsidR="006A0BE0">
        <w:t xml:space="preserve">  </w:t>
      </w:r>
    </w:p>
    <w:p w14:paraId="307B1D9A" w14:textId="77777777" w:rsidR="00431C8F" w:rsidRDefault="00431C8F" w:rsidP="00431C8F"/>
    <w:p w14:paraId="12A903D5" w14:textId="429F3620" w:rsidR="00046F75" w:rsidRDefault="00270513" w:rsidP="00431C8F">
      <w:r>
        <w:t>Once started,</w:t>
      </w:r>
      <w:r w:rsidR="007977EC">
        <w:t xml:space="preserve"> </w:t>
      </w:r>
      <w:r>
        <w:t>Phelps recharge operations generally continue as long as excess flows are available, threshold groundwater elevations are not exceeded, and</w:t>
      </w:r>
      <w:r w:rsidR="00CA5B36">
        <w:t>/or</w:t>
      </w:r>
      <w:r>
        <w:t xml:space="preserve"> the CNPPID infrastructure utilized for the project is not threatened by icy conditions</w:t>
      </w:r>
      <w:r w:rsidR="00DC31CA">
        <w:t>.</w:t>
      </w:r>
      <w:r w:rsidR="008B6215">
        <w:t xml:space="preserve">  In the spring, the volume of any water </w:t>
      </w:r>
      <w:r w:rsidR="008B6215">
        <w:lastRenderedPageBreak/>
        <w:t>remaining in the canal when irrigation operations begin in mid-April is subtracted from the measured volume of recharge diversions.</w:t>
      </w:r>
      <w:r w:rsidR="009119E2">
        <w:t xml:space="preserve">  </w:t>
      </w:r>
    </w:p>
    <w:p w14:paraId="70EC41F6" w14:textId="77777777" w:rsidR="00431C8F" w:rsidRDefault="00431C8F" w:rsidP="00431C8F"/>
    <w:p w14:paraId="276C4010" w14:textId="50A39E26" w:rsidR="00651D8A" w:rsidRDefault="009119E2" w:rsidP="00431C8F">
      <w:r>
        <w:t xml:space="preserve">The Cook </w:t>
      </w:r>
      <w:r w:rsidR="005B7476">
        <w:t>w</w:t>
      </w:r>
      <w:r>
        <w:t>ell is operated by the EDO to recapture water recharged through the Phelps County Canal and accelerate the return of that water to the Platte River during times of target flow shortages.</w:t>
      </w:r>
      <w:r w:rsidR="00664BD5">
        <w:t xml:space="preserve">  Initial </w:t>
      </w:r>
      <w:r w:rsidR="00046F75">
        <w:t>operation of the Cook well</w:t>
      </w:r>
      <w:r w:rsidR="00664BD5">
        <w:t xml:space="preserve"> occurred in October 2016.</w:t>
      </w:r>
      <w:r>
        <w:t xml:space="preserve">  </w:t>
      </w:r>
    </w:p>
    <w:p w14:paraId="2FF6FC49" w14:textId="77777777" w:rsidR="00431C8F" w:rsidRDefault="00431C8F" w:rsidP="00431C8F"/>
    <w:p w14:paraId="3C5BD5AC" w14:textId="40BBC6F2" w:rsidR="00BE7043" w:rsidRDefault="00BE7043" w:rsidP="00431C8F">
      <w:pPr>
        <w:rPr>
          <w:b/>
          <w:bCs/>
          <w:szCs w:val="24"/>
        </w:rPr>
      </w:pPr>
      <w:r w:rsidRPr="00BE7043">
        <w:rPr>
          <w:b/>
          <w:bCs/>
          <w:szCs w:val="24"/>
        </w:rPr>
        <w:t>Phelps Recharge Diversions and Accretions</w:t>
      </w:r>
    </w:p>
    <w:p w14:paraId="7ECBFCFD" w14:textId="77777777" w:rsidR="00431C8F" w:rsidRPr="00BE7043" w:rsidRDefault="00431C8F" w:rsidP="00431C8F">
      <w:pPr>
        <w:rPr>
          <w:b/>
          <w:bCs/>
          <w:szCs w:val="24"/>
        </w:rPr>
      </w:pPr>
    </w:p>
    <w:p w14:paraId="1381529F" w14:textId="7559497E" w:rsidR="00B14085" w:rsidRDefault="008B6215" w:rsidP="00431C8F">
      <w:pPr>
        <w:rPr>
          <w:szCs w:val="24"/>
        </w:rPr>
      </w:pPr>
      <w:r>
        <w:rPr>
          <w:szCs w:val="24"/>
        </w:rPr>
        <w:t xml:space="preserve">Records of </w:t>
      </w:r>
      <w:r w:rsidR="00227D1E">
        <w:rPr>
          <w:szCs w:val="24"/>
        </w:rPr>
        <w:t xml:space="preserve">measured </w:t>
      </w:r>
      <w:r>
        <w:rPr>
          <w:szCs w:val="24"/>
        </w:rPr>
        <w:t xml:space="preserve">daily </w:t>
      </w:r>
      <w:r w:rsidR="00227D1E">
        <w:rPr>
          <w:szCs w:val="24"/>
        </w:rPr>
        <w:t>diversions</w:t>
      </w:r>
      <w:r w:rsidR="006B1851">
        <w:rPr>
          <w:szCs w:val="24"/>
        </w:rPr>
        <w:t xml:space="preserve"> into the Phelps County Canal</w:t>
      </w:r>
      <w:r w:rsidR="00BE7043">
        <w:rPr>
          <w:szCs w:val="24"/>
        </w:rPr>
        <w:t xml:space="preserve"> for recharge</w:t>
      </w:r>
      <w:r>
        <w:rPr>
          <w:szCs w:val="24"/>
        </w:rPr>
        <w:t xml:space="preserve"> are provided by CNPPID</w:t>
      </w:r>
      <w:r w:rsidR="00B417C3">
        <w:rPr>
          <w:szCs w:val="24"/>
        </w:rPr>
        <w:t>.</w:t>
      </w:r>
      <w:r w:rsidR="00ED585E">
        <w:rPr>
          <w:szCs w:val="24"/>
        </w:rPr>
        <w:t xml:space="preserve">  </w:t>
      </w:r>
      <w:r w:rsidR="00B14085">
        <w:rPr>
          <w:szCs w:val="24"/>
        </w:rPr>
        <w:t>Originally, 50 percent of total Phelps recharge diversions were allocated to the Program.  The December 2015 WSA</w:t>
      </w:r>
      <w:r w:rsidR="004B2E8D">
        <w:rPr>
          <w:szCs w:val="24"/>
        </w:rPr>
        <w:t xml:space="preserve"> between the Program and CNPPID</w:t>
      </w:r>
      <w:r w:rsidR="00B14085">
        <w:rPr>
          <w:szCs w:val="24"/>
        </w:rPr>
        <w:t xml:space="preserve"> revised the allocation to 75 percent for the Program and 25 percent for </w:t>
      </w:r>
      <w:r w:rsidR="005C2655">
        <w:rPr>
          <w:szCs w:val="24"/>
        </w:rPr>
        <w:t>the State of Nebraska</w:t>
      </w:r>
      <w:r w:rsidR="00B14085">
        <w:rPr>
          <w:szCs w:val="24"/>
        </w:rPr>
        <w:t>.</w:t>
      </w:r>
      <w:r w:rsidR="004B2E8D">
        <w:rPr>
          <w:szCs w:val="24"/>
        </w:rPr>
        <w:t xml:space="preserve">  The current WSA for Phelps County Canal recharge, dated September 25, 2019, retains the same allocations</w:t>
      </w:r>
      <w:r w:rsidR="004B2E8D">
        <w:rPr>
          <w:rStyle w:val="FootnoteReference"/>
          <w:szCs w:val="24"/>
        </w:rPr>
        <w:footnoteReference w:id="6"/>
      </w:r>
      <w:r w:rsidR="004B2E8D">
        <w:rPr>
          <w:szCs w:val="24"/>
        </w:rPr>
        <w:t xml:space="preserve">.  However, </w:t>
      </w:r>
      <w:r w:rsidR="005C2655">
        <w:rPr>
          <w:szCs w:val="24"/>
        </w:rPr>
        <w:t>Nebraska’s</w:t>
      </w:r>
      <w:r w:rsidR="00B14085">
        <w:rPr>
          <w:szCs w:val="24"/>
        </w:rPr>
        <w:t xml:space="preserve"> agreement expired at the end of 2017</w:t>
      </w:r>
      <w:r w:rsidR="004B2E8D">
        <w:rPr>
          <w:szCs w:val="24"/>
        </w:rPr>
        <w:t xml:space="preserve"> and has not been renewed</w:t>
      </w:r>
      <w:r w:rsidR="00B14085">
        <w:rPr>
          <w:szCs w:val="24"/>
        </w:rPr>
        <w:t xml:space="preserve">, so the allocation of Phelps recharge has been 100 percent to the Program since the start of 2018.  </w:t>
      </w:r>
    </w:p>
    <w:p w14:paraId="50BBC250" w14:textId="77777777" w:rsidR="00431C8F" w:rsidRDefault="00431C8F" w:rsidP="00431C8F">
      <w:pPr>
        <w:rPr>
          <w:szCs w:val="24"/>
        </w:rPr>
      </w:pPr>
    </w:p>
    <w:p w14:paraId="0ECE2107" w14:textId="3577D1E3" w:rsidR="003147A4" w:rsidRDefault="00ED585E" w:rsidP="00431C8F">
      <w:pPr>
        <w:rPr>
          <w:b/>
          <w:bCs/>
          <w:sz w:val="22"/>
        </w:rPr>
      </w:pPr>
      <w:r>
        <w:rPr>
          <w:szCs w:val="24"/>
        </w:rPr>
        <w:t xml:space="preserve">Dates and volumes of </w:t>
      </w:r>
      <w:r w:rsidR="00AD119D">
        <w:rPr>
          <w:szCs w:val="24"/>
        </w:rPr>
        <w:t>diversions into Phelps County Canal for recharge</w:t>
      </w:r>
      <w:r>
        <w:rPr>
          <w:szCs w:val="24"/>
        </w:rPr>
        <w:t xml:space="preserve"> are shown in </w:t>
      </w:r>
      <w:r w:rsidRPr="00AE2B00">
        <w:rPr>
          <w:b/>
          <w:bCs/>
          <w:szCs w:val="24"/>
        </w:rPr>
        <w:t xml:space="preserve">Table </w:t>
      </w:r>
      <w:r w:rsidR="003147A4">
        <w:rPr>
          <w:b/>
          <w:bCs/>
          <w:szCs w:val="24"/>
        </w:rPr>
        <w:t>3</w:t>
      </w:r>
      <w:r>
        <w:rPr>
          <w:szCs w:val="24"/>
        </w:rPr>
        <w:t>.</w:t>
      </w:r>
      <w:r w:rsidR="00F92B19">
        <w:rPr>
          <w:szCs w:val="24"/>
        </w:rPr>
        <w:t xml:space="preserve">  With limited exceptions,</w:t>
      </w:r>
      <w:r w:rsidR="00FA13FF">
        <w:rPr>
          <w:rStyle w:val="FootnoteReference"/>
          <w:szCs w:val="24"/>
        </w:rPr>
        <w:footnoteReference w:id="7"/>
      </w:r>
      <w:r w:rsidR="00F92B19">
        <w:rPr>
          <w:szCs w:val="24"/>
        </w:rPr>
        <w:t xml:space="preserve"> all</w:t>
      </w:r>
      <w:r w:rsidR="008C1401">
        <w:rPr>
          <w:szCs w:val="24"/>
        </w:rPr>
        <w:t xml:space="preserve"> water used for recharge was excess flow diverted under a series of temporary annual appropriations.  </w:t>
      </w:r>
      <w:r w:rsidR="00BE6005">
        <w:rPr>
          <w:szCs w:val="24"/>
        </w:rPr>
        <w:t>There were no Phelps recharge diversions for nearly 14 months between January 2019 and March 2020 because of persistent high groundwater levels</w:t>
      </w:r>
      <w:r w:rsidR="00B92CEA">
        <w:rPr>
          <w:szCs w:val="24"/>
        </w:rPr>
        <w:t xml:space="preserve"> during the non-irrigation season months in which diversions could have occurred</w:t>
      </w:r>
      <w:r w:rsidR="00BE6005">
        <w:rPr>
          <w:szCs w:val="24"/>
        </w:rPr>
        <w:t>.</w:t>
      </w:r>
      <w:r w:rsidR="003B5E2F">
        <w:rPr>
          <w:szCs w:val="24"/>
        </w:rPr>
        <w:t xml:space="preserve">  Although recharge operations lasted nearly a month in March-April 2020, subsequent opportunities to divert excess flows have been few and limited in duration.</w:t>
      </w:r>
      <w:r w:rsidR="008B6215">
        <w:rPr>
          <w:szCs w:val="24"/>
        </w:rPr>
        <w:t xml:space="preserve"> </w:t>
      </w:r>
      <w:r w:rsidR="003147A4">
        <w:rPr>
          <w:b/>
          <w:bCs/>
          <w:sz w:val="22"/>
        </w:rPr>
        <w:br w:type="page"/>
      </w:r>
    </w:p>
    <w:p w14:paraId="5F0C6B01" w14:textId="6753A42C" w:rsidR="00AE2B00" w:rsidRPr="00AE2B00" w:rsidRDefault="00AE2B00" w:rsidP="00AE2B00">
      <w:pPr>
        <w:pStyle w:val="ListParagraph"/>
        <w:spacing w:before="120"/>
        <w:ind w:left="0"/>
        <w:rPr>
          <w:b/>
          <w:bCs/>
          <w:sz w:val="22"/>
        </w:rPr>
      </w:pPr>
      <w:r w:rsidRPr="00AE2B00">
        <w:rPr>
          <w:b/>
          <w:bCs/>
          <w:sz w:val="22"/>
        </w:rPr>
        <w:lastRenderedPageBreak/>
        <w:t xml:space="preserve">Table </w:t>
      </w:r>
      <w:r w:rsidR="003147A4">
        <w:rPr>
          <w:b/>
          <w:bCs/>
          <w:sz w:val="22"/>
        </w:rPr>
        <w:t>3</w:t>
      </w:r>
      <w:r w:rsidRPr="00AE2B00">
        <w:rPr>
          <w:b/>
          <w:bCs/>
          <w:sz w:val="22"/>
        </w:rPr>
        <w:t>.  Phelps County Canal Recharge</w:t>
      </w:r>
      <w:r>
        <w:rPr>
          <w:b/>
          <w:bCs/>
          <w:sz w:val="22"/>
        </w:rPr>
        <w:t xml:space="preserve"> Diversions</w:t>
      </w:r>
      <w:r w:rsidRPr="00AE2B00">
        <w:rPr>
          <w:b/>
          <w:bCs/>
          <w:sz w:val="22"/>
        </w:rPr>
        <w:t>, 2011-2020</w:t>
      </w:r>
    </w:p>
    <w:tbl>
      <w:tblPr>
        <w:tblStyle w:val="TableGrid"/>
        <w:tblW w:w="0" w:type="auto"/>
        <w:tblLook w:val="04A0" w:firstRow="1" w:lastRow="0" w:firstColumn="1" w:lastColumn="0" w:noHBand="0" w:noVBand="1"/>
      </w:tblPr>
      <w:tblGrid>
        <w:gridCol w:w="1870"/>
        <w:gridCol w:w="1870"/>
        <w:gridCol w:w="1870"/>
        <w:gridCol w:w="1870"/>
        <w:gridCol w:w="1870"/>
      </w:tblGrid>
      <w:tr w:rsidR="00AE2B00" w14:paraId="76753780" w14:textId="77777777" w:rsidTr="008A2722">
        <w:tc>
          <w:tcPr>
            <w:tcW w:w="1870" w:type="dxa"/>
            <w:shd w:val="clear" w:color="auto" w:fill="C2D69B" w:themeFill="accent3" w:themeFillTint="99"/>
            <w:vAlign w:val="bottom"/>
          </w:tcPr>
          <w:p w14:paraId="164E1BB8" w14:textId="278A061C" w:rsidR="00AE2B00" w:rsidRPr="00AE2B00" w:rsidRDefault="00AE2B00" w:rsidP="008A2722">
            <w:pPr>
              <w:pStyle w:val="ListParagraph"/>
              <w:ind w:left="0"/>
              <w:jc w:val="center"/>
              <w:rPr>
                <w:b/>
                <w:bCs/>
                <w:szCs w:val="24"/>
              </w:rPr>
            </w:pPr>
            <w:r w:rsidRPr="00AE2B00">
              <w:rPr>
                <w:b/>
                <w:bCs/>
                <w:szCs w:val="24"/>
              </w:rPr>
              <w:t>Diversion Period</w:t>
            </w:r>
          </w:p>
        </w:tc>
        <w:tc>
          <w:tcPr>
            <w:tcW w:w="1870" w:type="dxa"/>
            <w:shd w:val="clear" w:color="auto" w:fill="C2D69B" w:themeFill="accent3" w:themeFillTint="99"/>
            <w:vAlign w:val="bottom"/>
          </w:tcPr>
          <w:p w14:paraId="4D8A2521" w14:textId="5B59D819" w:rsidR="00AE2B00" w:rsidRPr="00AE2B00" w:rsidRDefault="00AE2B00" w:rsidP="008A2722">
            <w:pPr>
              <w:pStyle w:val="ListParagraph"/>
              <w:ind w:left="0"/>
              <w:jc w:val="center"/>
              <w:rPr>
                <w:b/>
                <w:bCs/>
                <w:szCs w:val="24"/>
              </w:rPr>
            </w:pPr>
            <w:r w:rsidRPr="00AE2B00">
              <w:rPr>
                <w:b/>
                <w:bCs/>
                <w:szCs w:val="24"/>
              </w:rPr>
              <w:t>Start Date</w:t>
            </w:r>
          </w:p>
        </w:tc>
        <w:tc>
          <w:tcPr>
            <w:tcW w:w="1870" w:type="dxa"/>
            <w:shd w:val="clear" w:color="auto" w:fill="C2D69B" w:themeFill="accent3" w:themeFillTint="99"/>
            <w:vAlign w:val="bottom"/>
          </w:tcPr>
          <w:p w14:paraId="47BF412C" w14:textId="193D1225" w:rsidR="00AE2B00" w:rsidRPr="00AE2B00" w:rsidRDefault="00AE2B00" w:rsidP="008A2722">
            <w:pPr>
              <w:pStyle w:val="ListParagraph"/>
              <w:ind w:left="0"/>
              <w:jc w:val="center"/>
              <w:rPr>
                <w:b/>
                <w:bCs/>
                <w:szCs w:val="24"/>
              </w:rPr>
            </w:pPr>
            <w:r w:rsidRPr="00AE2B00">
              <w:rPr>
                <w:b/>
                <w:bCs/>
                <w:szCs w:val="24"/>
              </w:rPr>
              <w:t>End Date</w:t>
            </w:r>
          </w:p>
        </w:tc>
        <w:tc>
          <w:tcPr>
            <w:tcW w:w="1870" w:type="dxa"/>
            <w:shd w:val="clear" w:color="auto" w:fill="C2D69B" w:themeFill="accent3" w:themeFillTint="99"/>
            <w:vAlign w:val="bottom"/>
          </w:tcPr>
          <w:p w14:paraId="0F341B31" w14:textId="27D34CBD" w:rsidR="00AE2B00" w:rsidRPr="00AE2B00" w:rsidRDefault="00AE2B00" w:rsidP="008A2722">
            <w:pPr>
              <w:pStyle w:val="ListParagraph"/>
              <w:ind w:left="0"/>
              <w:jc w:val="center"/>
              <w:rPr>
                <w:b/>
                <w:bCs/>
                <w:szCs w:val="24"/>
              </w:rPr>
            </w:pPr>
            <w:r w:rsidRPr="00AE2B00">
              <w:rPr>
                <w:b/>
                <w:bCs/>
                <w:szCs w:val="24"/>
              </w:rPr>
              <w:t># of Days</w:t>
            </w:r>
            <w:r w:rsidR="001B732A">
              <w:rPr>
                <w:b/>
                <w:bCs/>
                <w:szCs w:val="24"/>
              </w:rPr>
              <w:t xml:space="preserve"> with Recharge Diversions</w:t>
            </w:r>
          </w:p>
        </w:tc>
        <w:tc>
          <w:tcPr>
            <w:tcW w:w="1870" w:type="dxa"/>
            <w:shd w:val="clear" w:color="auto" w:fill="C2D69B" w:themeFill="accent3" w:themeFillTint="99"/>
            <w:vAlign w:val="bottom"/>
          </w:tcPr>
          <w:p w14:paraId="1770D279" w14:textId="77777777" w:rsidR="00AE2B00" w:rsidRDefault="00AE2B00" w:rsidP="008A2722">
            <w:pPr>
              <w:pStyle w:val="ListParagraph"/>
              <w:ind w:left="0"/>
              <w:jc w:val="center"/>
              <w:rPr>
                <w:b/>
                <w:bCs/>
                <w:szCs w:val="24"/>
              </w:rPr>
            </w:pPr>
            <w:r>
              <w:rPr>
                <w:b/>
                <w:bCs/>
                <w:szCs w:val="24"/>
              </w:rPr>
              <w:t>Measured Diversion Volume</w:t>
            </w:r>
          </w:p>
          <w:p w14:paraId="5D03D0FC" w14:textId="7255EDF5" w:rsidR="00AE2B00" w:rsidRPr="00AE2B00" w:rsidRDefault="00AE2B00" w:rsidP="008A2722">
            <w:pPr>
              <w:pStyle w:val="ListParagraph"/>
              <w:ind w:left="0"/>
              <w:jc w:val="center"/>
              <w:rPr>
                <w:b/>
                <w:bCs/>
                <w:szCs w:val="24"/>
              </w:rPr>
            </w:pPr>
            <w:r w:rsidRPr="00AE2B00">
              <w:rPr>
                <w:b/>
                <w:bCs/>
                <w:szCs w:val="24"/>
              </w:rPr>
              <w:t>(AF)</w:t>
            </w:r>
          </w:p>
        </w:tc>
      </w:tr>
      <w:tr w:rsidR="00AE2B00" w14:paraId="5928F301" w14:textId="77777777" w:rsidTr="00AE2B00">
        <w:trPr>
          <w:trHeight w:val="288"/>
        </w:trPr>
        <w:tc>
          <w:tcPr>
            <w:tcW w:w="1870" w:type="dxa"/>
            <w:vAlign w:val="center"/>
          </w:tcPr>
          <w:p w14:paraId="09DF0F2E" w14:textId="51C626E9" w:rsidR="00AE2B00" w:rsidRPr="00AE2B00" w:rsidRDefault="00AE2B00" w:rsidP="00AE2B00">
            <w:pPr>
              <w:jc w:val="center"/>
              <w:rPr>
                <w:sz w:val="22"/>
              </w:rPr>
            </w:pPr>
            <w:r w:rsidRPr="00AE2B00">
              <w:rPr>
                <w:sz w:val="22"/>
              </w:rPr>
              <w:t>1</w:t>
            </w:r>
          </w:p>
        </w:tc>
        <w:tc>
          <w:tcPr>
            <w:tcW w:w="1870" w:type="dxa"/>
            <w:vAlign w:val="center"/>
          </w:tcPr>
          <w:p w14:paraId="4D561DEB" w14:textId="39CF8BE4" w:rsidR="00AE2B00" w:rsidRPr="00AE2B00" w:rsidRDefault="00AE2B00" w:rsidP="00AE2B00">
            <w:pPr>
              <w:jc w:val="center"/>
              <w:rPr>
                <w:sz w:val="22"/>
              </w:rPr>
            </w:pPr>
            <w:r w:rsidRPr="00AE2B00">
              <w:rPr>
                <w:sz w:val="22"/>
              </w:rPr>
              <w:t>9/28/2011</w:t>
            </w:r>
          </w:p>
        </w:tc>
        <w:tc>
          <w:tcPr>
            <w:tcW w:w="1870" w:type="dxa"/>
            <w:vAlign w:val="center"/>
          </w:tcPr>
          <w:p w14:paraId="7BC6A1C6" w14:textId="6A367C19" w:rsidR="00AE2B00" w:rsidRPr="00AE2B00" w:rsidRDefault="00AE2B00" w:rsidP="00AE2B00">
            <w:pPr>
              <w:jc w:val="center"/>
              <w:rPr>
                <w:sz w:val="22"/>
              </w:rPr>
            </w:pPr>
            <w:r w:rsidRPr="00AE2B00">
              <w:rPr>
                <w:sz w:val="22"/>
              </w:rPr>
              <w:t>1/5/2012</w:t>
            </w:r>
          </w:p>
        </w:tc>
        <w:tc>
          <w:tcPr>
            <w:tcW w:w="1870" w:type="dxa"/>
            <w:vAlign w:val="center"/>
          </w:tcPr>
          <w:p w14:paraId="0E392E3B" w14:textId="4743B5DB" w:rsidR="00AE2B00" w:rsidRPr="00AE2B00" w:rsidRDefault="00AE2B00" w:rsidP="00AE2B00">
            <w:pPr>
              <w:jc w:val="center"/>
              <w:rPr>
                <w:sz w:val="22"/>
              </w:rPr>
            </w:pPr>
            <w:r w:rsidRPr="00AE2B00">
              <w:rPr>
                <w:sz w:val="22"/>
              </w:rPr>
              <w:t>100</w:t>
            </w:r>
          </w:p>
        </w:tc>
        <w:tc>
          <w:tcPr>
            <w:tcW w:w="1870" w:type="dxa"/>
            <w:vAlign w:val="center"/>
          </w:tcPr>
          <w:p w14:paraId="42AF464E" w14:textId="0BA4662F" w:rsidR="00AE2B00" w:rsidRPr="00AE2B00" w:rsidRDefault="00AE2B00" w:rsidP="00AE2B00">
            <w:pPr>
              <w:jc w:val="center"/>
              <w:rPr>
                <w:sz w:val="22"/>
              </w:rPr>
            </w:pPr>
            <w:r w:rsidRPr="00AE2B00">
              <w:rPr>
                <w:sz w:val="22"/>
              </w:rPr>
              <w:t>2,779</w:t>
            </w:r>
          </w:p>
        </w:tc>
      </w:tr>
      <w:tr w:rsidR="00AE2B00" w14:paraId="49410A0F" w14:textId="77777777" w:rsidTr="00AE2B00">
        <w:trPr>
          <w:trHeight w:val="288"/>
        </w:trPr>
        <w:tc>
          <w:tcPr>
            <w:tcW w:w="1870" w:type="dxa"/>
            <w:vAlign w:val="center"/>
          </w:tcPr>
          <w:p w14:paraId="12FF50F2" w14:textId="3CF0C176" w:rsidR="00AE2B00" w:rsidRPr="00AE2B00" w:rsidRDefault="00AE2B00" w:rsidP="00AE2B00">
            <w:pPr>
              <w:jc w:val="center"/>
              <w:rPr>
                <w:sz w:val="22"/>
              </w:rPr>
            </w:pPr>
            <w:r w:rsidRPr="00AE2B00">
              <w:rPr>
                <w:sz w:val="22"/>
              </w:rPr>
              <w:t>2</w:t>
            </w:r>
          </w:p>
        </w:tc>
        <w:tc>
          <w:tcPr>
            <w:tcW w:w="1870" w:type="dxa"/>
            <w:vAlign w:val="center"/>
          </w:tcPr>
          <w:p w14:paraId="67D116BF" w14:textId="7B3AA208" w:rsidR="00AE2B00" w:rsidRPr="00AE2B00" w:rsidRDefault="00AE2B00" w:rsidP="00AE2B00">
            <w:pPr>
              <w:jc w:val="center"/>
              <w:rPr>
                <w:sz w:val="22"/>
              </w:rPr>
            </w:pPr>
            <w:r w:rsidRPr="00AE2B00">
              <w:rPr>
                <w:sz w:val="22"/>
              </w:rPr>
              <w:t>12/10/2012</w:t>
            </w:r>
          </w:p>
        </w:tc>
        <w:tc>
          <w:tcPr>
            <w:tcW w:w="1870" w:type="dxa"/>
            <w:vAlign w:val="center"/>
          </w:tcPr>
          <w:p w14:paraId="5B629E7D" w14:textId="136708C4" w:rsidR="00AE2B00" w:rsidRPr="00AE2B00" w:rsidRDefault="00AE2B00" w:rsidP="00AE2B00">
            <w:pPr>
              <w:jc w:val="center"/>
              <w:rPr>
                <w:sz w:val="22"/>
              </w:rPr>
            </w:pPr>
            <w:r w:rsidRPr="00AE2B00">
              <w:rPr>
                <w:sz w:val="22"/>
              </w:rPr>
              <w:t>3/11/2013</w:t>
            </w:r>
          </w:p>
        </w:tc>
        <w:tc>
          <w:tcPr>
            <w:tcW w:w="1870" w:type="dxa"/>
            <w:vAlign w:val="center"/>
          </w:tcPr>
          <w:p w14:paraId="7166F9F9" w14:textId="72C8046B" w:rsidR="00AE2B00" w:rsidRPr="00AE2B00" w:rsidRDefault="00AE2B00" w:rsidP="00AE2B00">
            <w:pPr>
              <w:jc w:val="center"/>
              <w:rPr>
                <w:sz w:val="22"/>
              </w:rPr>
            </w:pPr>
            <w:r w:rsidRPr="00AE2B00">
              <w:rPr>
                <w:sz w:val="22"/>
              </w:rPr>
              <w:t>92</w:t>
            </w:r>
          </w:p>
        </w:tc>
        <w:tc>
          <w:tcPr>
            <w:tcW w:w="1870" w:type="dxa"/>
            <w:vAlign w:val="center"/>
          </w:tcPr>
          <w:p w14:paraId="1690BA20" w14:textId="7E5E6611" w:rsidR="00AE2B00" w:rsidRPr="00AE2B00" w:rsidRDefault="00AE2B00" w:rsidP="00AE2B00">
            <w:pPr>
              <w:jc w:val="center"/>
              <w:rPr>
                <w:sz w:val="22"/>
              </w:rPr>
            </w:pPr>
            <w:r w:rsidRPr="00AE2B00">
              <w:rPr>
                <w:sz w:val="22"/>
              </w:rPr>
              <w:t>4,088</w:t>
            </w:r>
          </w:p>
        </w:tc>
      </w:tr>
      <w:tr w:rsidR="00AE2B00" w14:paraId="19F64545" w14:textId="77777777" w:rsidTr="00AE2B00">
        <w:trPr>
          <w:trHeight w:val="288"/>
        </w:trPr>
        <w:tc>
          <w:tcPr>
            <w:tcW w:w="1870" w:type="dxa"/>
            <w:vAlign w:val="center"/>
          </w:tcPr>
          <w:p w14:paraId="5F2BB046" w14:textId="067E9B48" w:rsidR="00AE2B00" w:rsidRPr="00AE2B00" w:rsidRDefault="00AE2B00" w:rsidP="00AE2B00">
            <w:pPr>
              <w:jc w:val="center"/>
              <w:rPr>
                <w:sz w:val="22"/>
              </w:rPr>
            </w:pPr>
            <w:r w:rsidRPr="00AE2B00">
              <w:rPr>
                <w:sz w:val="22"/>
              </w:rPr>
              <w:t>3</w:t>
            </w:r>
          </w:p>
        </w:tc>
        <w:tc>
          <w:tcPr>
            <w:tcW w:w="1870" w:type="dxa"/>
            <w:vAlign w:val="center"/>
          </w:tcPr>
          <w:p w14:paraId="2A164A91" w14:textId="4217CB6F" w:rsidR="00AE2B00" w:rsidRPr="00AE2B00" w:rsidRDefault="00AE2B00" w:rsidP="00AE2B00">
            <w:pPr>
              <w:jc w:val="center"/>
              <w:rPr>
                <w:sz w:val="22"/>
              </w:rPr>
            </w:pPr>
            <w:r w:rsidRPr="00AE2B00">
              <w:rPr>
                <w:sz w:val="22"/>
              </w:rPr>
              <w:t>9/19/2013</w:t>
            </w:r>
          </w:p>
        </w:tc>
        <w:tc>
          <w:tcPr>
            <w:tcW w:w="1870" w:type="dxa"/>
            <w:vAlign w:val="center"/>
          </w:tcPr>
          <w:p w14:paraId="34376E0D" w14:textId="25E43698" w:rsidR="00AE2B00" w:rsidRPr="00AE2B00" w:rsidRDefault="00AE2B00" w:rsidP="00AE2B00">
            <w:pPr>
              <w:jc w:val="center"/>
              <w:rPr>
                <w:sz w:val="22"/>
              </w:rPr>
            </w:pPr>
            <w:r w:rsidRPr="00AE2B00">
              <w:rPr>
                <w:sz w:val="22"/>
              </w:rPr>
              <w:t>10/28/2013</w:t>
            </w:r>
          </w:p>
        </w:tc>
        <w:tc>
          <w:tcPr>
            <w:tcW w:w="1870" w:type="dxa"/>
            <w:vAlign w:val="center"/>
          </w:tcPr>
          <w:p w14:paraId="4D85A63D" w14:textId="3F0F33D2" w:rsidR="00AE2B00" w:rsidRPr="00AE2B00" w:rsidRDefault="00AE2B00" w:rsidP="00AE2B00">
            <w:pPr>
              <w:jc w:val="center"/>
              <w:rPr>
                <w:sz w:val="22"/>
              </w:rPr>
            </w:pPr>
            <w:r w:rsidRPr="00AE2B00">
              <w:rPr>
                <w:sz w:val="22"/>
              </w:rPr>
              <w:t>40</w:t>
            </w:r>
          </w:p>
        </w:tc>
        <w:tc>
          <w:tcPr>
            <w:tcW w:w="1870" w:type="dxa"/>
            <w:vAlign w:val="center"/>
          </w:tcPr>
          <w:p w14:paraId="1B4750DF" w14:textId="4543C785" w:rsidR="00AE2B00" w:rsidRPr="00AE2B00" w:rsidRDefault="00AE2B00" w:rsidP="00AE2B00">
            <w:pPr>
              <w:jc w:val="center"/>
              <w:rPr>
                <w:sz w:val="22"/>
              </w:rPr>
            </w:pPr>
            <w:r w:rsidRPr="00AE2B00">
              <w:rPr>
                <w:sz w:val="22"/>
              </w:rPr>
              <w:t>1,945</w:t>
            </w:r>
          </w:p>
        </w:tc>
      </w:tr>
      <w:tr w:rsidR="00AE2B00" w14:paraId="26385169" w14:textId="77777777" w:rsidTr="00AE2B00">
        <w:trPr>
          <w:trHeight w:val="288"/>
        </w:trPr>
        <w:tc>
          <w:tcPr>
            <w:tcW w:w="1870" w:type="dxa"/>
            <w:vAlign w:val="center"/>
          </w:tcPr>
          <w:p w14:paraId="17CC1BC5" w14:textId="544A170D" w:rsidR="00AE2B00" w:rsidRPr="00AE2B00" w:rsidRDefault="00AE2B00" w:rsidP="00AE2B00">
            <w:pPr>
              <w:jc w:val="center"/>
              <w:rPr>
                <w:sz w:val="22"/>
              </w:rPr>
            </w:pPr>
            <w:r w:rsidRPr="00AE2B00">
              <w:rPr>
                <w:sz w:val="22"/>
              </w:rPr>
              <w:t>4</w:t>
            </w:r>
          </w:p>
        </w:tc>
        <w:tc>
          <w:tcPr>
            <w:tcW w:w="1870" w:type="dxa"/>
            <w:vAlign w:val="center"/>
          </w:tcPr>
          <w:p w14:paraId="0C5214C9" w14:textId="3963307B" w:rsidR="00AE2B00" w:rsidRPr="00AE2B00" w:rsidRDefault="00AE2B00" w:rsidP="00AE2B00">
            <w:pPr>
              <w:jc w:val="center"/>
              <w:rPr>
                <w:sz w:val="22"/>
              </w:rPr>
            </w:pPr>
            <w:r w:rsidRPr="00AE2B00">
              <w:rPr>
                <w:sz w:val="22"/>
              </w:rPr>
              <w:t>11/26/2014</w:t>
            </w:r>
          </w:p>
        </w:tc>
        <w:tc>
          <w:tcPr>
            <w:tcW w:w="1870" w:type="dxa"/>
            <w:vAlign w:val="center"/>
          </w:tcPr>
          <w:p w14:paraId="43F409AF" w14:textId="2D47A199" w:rsidR="00AE2B00" w:rsidRPr="00AE2B00" w:rsidRDefault="00AE2B00" w:rsidP="00AE2B00">
            <w:pPr>
              <w:jc w:val="center"/>
              <w:rPr>
                <w:sz w:val="22"/>
              </w:rPr>
            </w:pPr>
            <w:r w:rsidRPr="00AE2B00">
              <w:rPr>
                <w:sz w:val="22"/>
              </w:rPr>
              <w:t>2/15/2015</w:t>
            </w:r>
          </w:p>
        </w:tc>
        <w:tc>
          <w:tcPr>
            <w:tcW w:w="1870" w:type="dxa"/>
            <w:vAlign w:val="center"/>
          </w:tcPr>
          <w:p w14:paraId="04244DED" w14:textId="300F25ED" w:rsidR="00AE2B00" w:rsidRPr="00AE2B00" w:rsidRDefault="00AE2B00" w:rsidP="00AE2B00">
            <w:pPr>
              <w:jc w:val="center"/>
              <w:rPr>
                <w:sz w:val="22"/>
              </w:rPr>
            </w:pPr>
            <w:r w:rsidRPr="00AE2B00">
              <w:rPr>
                <w:sz w:val="22"/>
              </w:rPr>
              <w:t>82</w:t>
            </w:r>
          </w:p>
        </w:tc>
        <w:tc>
          <w:tcPr>
            <w:tcW w:w="1870" w:type="dxa"/>
            <w:vAlign w:val="center"/>
          </w:tcPr>
          <w:p w14:paraId="7FCE3E48" w14:textId="502EC98B" w:rsidR="00AE2B00" w:rsidRPr="00AE2B00" w:rsidRDefault="00AE2B00" w:rsidP="00AE2B00">
            <w:pPr>
              <w:jc w:val="center"/>
              <w:rPr>
                <w:sz w:val="22"/>
              </w:rPr>
            </w:pPr>
            <w:r w:rsidRPr="00AE2B00">
              <w:rPr>
                <w:sz w:val="22"/>
              </w:rPr>
              <w:t>2,544</w:t>
            </w:r>
          </w:p>
        </w:tc>
      </w:tr>
      <w:tr w:rsidR="00AE2B00" w14:paraId="3BF2664D" w14:textId="77777777" w:rsidTr="00AE2B00">
        <w:trPr>
          <w:trHeight w:val="288"/>
        </w:trPr>
        <w:tc>
          <w:tcPr>
            <w:tcW w:w="1870" w:type="dxa"/>
            <w:vAlign w:val="center"/>
          </w:tcPr>
          <w:p w14:paraId="5997E95B" w14:textId="2DF6A82C" w:rsidR="00AE2B00" w:rsidRPr="00AE2B00" w:rsidRDefault="00AE2B00" w:rsidP="00AE2B00">
            <w:pPr>
              <w:jc w:val="center"/>
              <w:rPr>
                <w:sz w:val="22"/>
              </w:rPr>
            </w:pPr>
            <w:r w:rsidRPr="00AE2B00">
              <w:rPr>
                <w:sz w:val="22"/>
              </w:rPr>
              <w:t>5</w:t>
            </w:r>
          </w:p>
        </w:tc>
        <w:tc>
          <w:tcPr>
            <w:tcW w:w="1870" w:type="dxa"/>
            <w:vAlign w:val="center"/>
          </w:tcPr>
          <w:p w14:paraId="33E03B73" w14:textId="6A9E6F2E" w:rsidR="00AE2B00" w:rsidRPr="00AE2B00" w:rsidRDefault="00AE2B00" w:rsidP="00AE2B00">
            <w:pPr>
              <w:jc w:val="center"/>
              <w:rPr>
                <w:sz w:val="22"/>
              </w:rPr>
            </w:pPr>
            <w:r w:rsidRPr="00AE2B00">
              <w:rPr>
                <w:sz w:val="22"/>
              </w:rPr>
              <w:t>11/16/2015</w:t>
            </w:r>
          </w:p>
        </w:tc>
        <w:tc>
          <w:tcPr>
            <w:tcW w:w="1870" w:type="dxa"/>
            <w:vAlign w:val="center"/>
          </w:tcPr>
          <w:p w14:paraId="3C557A21" w14:textId="5B1C37B0" w:rsidR="00AE2B00" w:rsidRPr="00AE2B00" w:rsidRDefault="00AE2B00" w:rsidP="00AE2B00">
            <w:pPr>
              <w:jc w:val="center"/>
              <w:rPr>
                <w:sz w:val="22"/>
              </w:rPr>
            </w:pPr>
            <w:r w:rsidRPr="00AE2B00">
              <w:rPr>
                <w:sz w:val="22"/>
              </w:rPr>
              <w:t>2/14/2016</w:t>
            </w:r>
          </w:p>
        </w:tc>
        <w:tc>
          <w:tcPr>
            <w:tcW w:w="1870" w:type="dxa"/>
            <w:vAlign w:val="center"/>
          </w:tcPr>
          <w:p w14:paraId="363B052D" w14:textId="64913E11" w:rsidR="00AE2B00" w:rsidRPr="00AE2B00" w:rsidRDefault="00AE2B00" w:rsidP="00AE2B00">
            <w:pPr>
              <w:jc w:val="center"/>
              <w:rPr>
                <w:sz w:val="22"/>
              </w:rPr>
            </w:pPr>
            <w:r w:rsidRPr="00AE2B00">
              <w:rPr>
                <w:sz w:val="22"/>
              </w:rPr>
              <w:t>91</w:t>
            </w:r>
          </w:p>
        </w:tc>
        <w:tc>
          <w:tcPr>
            <w:tcW w:w="1870" w:type="dxa"/>
            <w:vAlign w:val="center"/>
          </w:tcPr>
          <w:p w14:paraId="11426A3D" w14:textId="3306F7EE" w:rsidR="00AE2B00" w:rsidRPr="00AE2B00" w:rsidRDefault="00AE2B00" w:rsidP="00AE2B00">
            <w:pPr>
              <w:jc w:val="center"/>
              <w:rPr>
                <w:sz w:val="22"/>
              </w:rPr>
            </w:pPr>
            <w:r w:rsidRPr="00AE2B00">
              <w:rPr>
                <w:sz w:val="22"/>
              </w:rPr>
              <w:t>3,711</w:t>
            </w:r>
          </w:p>
        </w:tc>
      </w:tr>
      <w:tr w:rsidR="00AE2B00" w14:paraId="25B41345" w14:textId="77777777" w:rsidTr="00AE2B00">
        <w:trPr>
          <w:trHeight w:val="288"/>
        </w:trPr>
        <w:tc>
          <w:tcPr>
            <w:tcW w:w="1870" w:type="dxa"/>
            <w:vAlign w:val="center"/>
          </w:tcPr>
          <w:p w14:paraId="5D4B5E07" w14:textId="2D623290" w:rsidR="00AE2B00" w:rsidRPr="00AE2B00" w:rsidRDefault="00AE2B00" w:rsidP="00AE2B00">
            <w:pPr>
              <w:jc w:val="center"/>
              <w:rPr>
                <w:sz w:val="22"/>
              </w:rPr>
            </w:pPr>
            <w:r w:rsidRPr="00AE2B00">
              <w:rPr>
                <w:sz w:val="22"/>
              </w:rPr>
              <w:t>6</w:t>
            </w:r>
          </w:p>
        </w:tc>
        <w:tc>
          <w:tcPr>
            <w:tcW w:w="1870" w:type="dxa"/>
            <w:vAlign w:val="center"/>
          </w:tcPr>
          <w:p w14:paraId="2F632C61" w14:textId="2B3A94A2" w:rsidR="00AE2B00" w:rsidRPr="00AE2B00" w:rsidRDefault="00AE2B00" w:rsidP="00AE2B00">
            <w:pPr>
              <w:jc w:val="center"/>
              <w:rPr>
                <w:sz w:val="22"/>
              </w:rPr>
            </w:pPr>
            <w:r w:rsidRPr="00AE2B00">
              <w:rPr>
                <w:sz w:val="22"/>
              </w:rPr>
              <w:t>3/16/2016</w:t>
            </w:r>
          </w:p>
        </w:tc>
        <w:tc>
          <w:tcPr>
            <w:tcW w:w="1870" w:type="dxa"/>
            <w:vAlign w:val="center"/>
          </w:tcPr>
          <w:p w14:paraId="0AAA460E" w14:textId="0164C7EC" w:rsidR="00AE2B00" w:rsidRPr="00AE2B00" w:rsidRDefault="00AE2B00" w:rsidP="00AE2B00">
            <w:pPr>
              <w:jc w:val="center"/>
              <w:rPr>
                <w:sz w:val="22"/>
              </w:rPr>
            </w:pPr>
            <w:r w:rsidRPr="00AE2B00">
              <w:rPr>
                <w:sz w:val="22"/>
              </w:rPr>
              <w:t>3/17/2016</w:t>
            </w:r>
          </w:p>
        </w:tc>
        <w:tc>
          <w:tcPr>
            <w:tcW w:w="1870" w:type="dxa"/>
            <w:vAlign w:val="center"/>
          </w:tcPr>
          <w:p w14:paraId="414E3F22" w14:textId="12565DA3" w:rsidR="00AE2B00" w:rsidRPr="00AE2B00" w:rsidRDefault="00AE2B00" w:rsidP="00AE2B00">
            <w:pPr>
              <w:jc w:val="center"/>
              <w:rPr>
                <w:sz w:val="22"/>
              </w:rPr>
            </w:pPr>
            <w:r w:rsidRPr="00AE2B00">
              <w:rPr>
                <w:sz w:val="22"/>
              </w:rPr>
              <w:t>2</w:t>
            </w:r>
          </w:p>
        </w:tc>
        <w:tc>
          <w:tcPr>
            <w:tcW w:w="1870" w:type="dxa"/>
            <w:vAlign w:val="center"/>
          </w:tcPr>
          <w:p w14:paraId="71D8D018" w14:textId="1652F2D6" w:rsidR="00AE2B00" w:rsidRPr="00AE2B00" w:rsidRDefault="00AE2B00" w:rsidP="00AE2B00">
            <w:pPr>
              <w:jc w:val="center"/>
              <w:rPr>
                <w:sz w:val="22"/>
              </w:rPr>
            </w:pPr>
            <w:r w:rsidRPr="00AE2B00">
              <w:rPr>
                <w:sz w:val="22"/>
              </w:rPr>
              <w:t>473</w:t>
            </w:r>
          </w:p>
        </w:tc>
      </w:tr>
      <w:tr w:rsidR="00AE2B00" w14:paraId="2CA66078" w14:textId="77777777" w:rsidTr="00AE2B00">
        <w:trPr>
          <w:trHeight w:val="288"/>
        </w:trPr>
        <w:tc>
          <w:tcPr>
            <w:tcW w:w="1870" w:type="dxa"/>
            <w:vAlign w:val="center"/>
          </w:tcPr>
          <w:p w14:paraId="0853FCEF" w14:textId="073AB8B3" w:rsidR="00AE2B00" w:rsidRPr="00AE2B00" w:rsidRDefault="00AE2B00" w:rsidP="00AE2B00">
            <w:pPr>
              <w:jc w:val="center"/>
              <w:rPr>
                <w:sz w:val="22"/>
              </w:rPr>
            </w:pPr>
            <w:r w:rsidRPr="00AE2B00">
              <w:rPr>
                <w:sz w:val="22"/>
              </w:rPr>
              <w:t>7</w:t>
            </w:r>
          </w:p>
        </w:tc>
        <w:tc>
          <w:tcPr>
            <w:tcW w:w="1870" w:type="dxa"/>
            <w:vAlign w:val="center"/>
          </w:tcPr>
          <w:p w14:paraId="191B1F83" w14:textId="72CC68A7" w:rsidR="00AE2B00" w:rsidRPr="00AE2B00" w:rsidRDefault="00AE2B00" w:rsidP="00AE2B00">
            <w:pPr>
              <w:jc w:val="center"/>
              <w:rPr>
                <w:sz w:val="22"/>
              </w:rPr>
            </w:pPr>
            <w:r w:rsidRPr="00AE2B00">
              <w:rPr>
                <w:sz w:val="22"/>
              </w:rPr>
              <w:t>9/15/2016</w:t>
            </w:r>
          </w:p>
        </w:tc>
        <w:tc>
          <w:tcPr>
            <w:tcW w:w="1870" w:type="dxa"/>
            <w:vAlign w:val="center"/>
          </w:tcPr>
          <w:p w14:paraId="4094B164" w14:textId="26D7CB03" w:rsidR="00AE2B00" w:rsidRPr="00AE2B00" w:rsidRDefault="00AE2B00" w:rsidP="00AE2B00">
            <w:pPr>
              <w:jc w:val="center"/>
              <w:rPr>
                <w:sz w:val="22"/>
              </w:rPr>
            </w:pPr>
            <w:r w:rsidRPr="00AE2B00">
              <w:rPr>
                <w:sz w:val="22"/>
              </w:rPr>
              <w:t>10/4/2016</w:t>
            </w:r>
          </w:p>
        </w:tc>
        <w:tc>
          <w:tcPr>
            <w:tcW w:w="1870" w:type="dxa"/>
            <w:vAlign w:val="center"/>
          </w:tcPr>
          <w:p w14:paraId="23662A23" w14:textId="3F940962" w:rsidR="00AE2B00" w:rsidRPr="00AE2B00" w:rsidRDefault="00AE2B00" w:rsidP="00AE2B00">
            <w:pPr>
              <w:jc w:val="center"/>
              <w:rPr>
                <w:sz w:val="22"/>
              </w:rPr>
            </w:pPr>
            <w:r w:rsidRPr="00AE2B00">
              <w:rPr>
                <w:sz w:val="22"/>
              </w:rPr>
              <w:t>20</w:t>
            </w:r>
          </w:p>
        </w:tc>
        <w:tc>
          <w:tcPr>
            <w:tcW w:w="1870" w:type="dxa"/>
            <w:vAlign w:val="center"/>
          </w:tcPr>
          <w:p w14:paraId="216B4E45" w14:textId="2D38BF88" w:rsidR="00AE2B00" w:rsidRPr="00AE2B00" w:rsidRDefault="00AE2B00" w:rsidP="00AE2B00">
            <w:pPr>
              <w:jc w:val="center"/>
              <w:rPr>
                <w:sz w:val="22"/>
              </w:rPr>
            </w:pPr>
            <w:r w:rsidRPr="00AE2B00">
              <w:rPr>
                <w:sz w:val="22"/>
              </w:rPr>
              <w:t>1,374</w:t>
            </w:r>
          </w:p>
        </w:tc>
      </w:tr>
      <w:tr w:rsidR="00AE2B00" w14:paraId="27A5A5AB" w14:textId="77777777" w:rsidTr="00AE2B00">
        <w:trPr>
          <w:trHeight w:val="288"/>
        </w:trPr>
        <w:tc>
          <w:tcPr>
            <w:tcW w:w="1870" w:type="dxa"/>
            <w:vAlign w:val="center"/>
          </w:tcPr>
          <w:p w14:paraId="05CFA64D" w14:textId="75189075" w:rsidR="00AE2B00" w:rsidRPr="00AE2B00" w:rsidRDefault="00AE2B00" w:rsidP="00AE2B00">
            <w:pPr>
              <w:jc w:val="center"/>
              <w:rPr>
                <w:sz w:val="22"/>
              </w:rPr>
            </w:pPr>
            <w:r w:rsidRPr="00AE2B00">
              <w:rPr>
                <w:sz w:val="22"/>
              </w:rPr>
              <w:t>8</w:t>
            </w:r>
          </w:p>
        </w:tc>
        <w:tc>
          <w:tcPr>
            <w:tcW w:w="1870" w:type="dxa"/>
            <w:vAlign w:val="center"/>
          </w:tcPr>
          <w:p w14:paraId="0A2B8F20" w14:textId="4A6AC05B" w:rsidR="00AE2B00" w:rsidRPr="00AE2B00" w:rsidRDefault="00AE2B00" w:rsidP="00AE2B00">
            <w:pPr>
              <w:jc w:val="center"/>
              <w:rPr>
                <w:sz w:val="22"/>
              </w:rPr>
            </w:pPr>
            <w:r w:rsidRPr="00AE2B00">
              <w:rPr>
                <w:sz w:val="22"/>
              </w:rPr>
              <w:t>10/10/2016</w:t>
            </w:r>
          </w:p>
        </w:tc>
        <w:tc>
          <w:tcPr>
            <w:tcW w:w="1870" w:type="dxa"/>
            <w:vAlign w:val="center"/>
          </w:tcPr>
          <w:p w14:paraId="441E661D" w14:textId="7C62339A" w:rsidR="00AE2B00" w:rsidRPr="00AE2B00" w:rsidRDefault="00AE2B00" w:rsidP="00AE2B00">
            <w:pPr>
              <w:jc w:val="center"/>
              <w:rPr>
                <w:sz w:val="22"/>
              </w:rPr>
            </w:pPr>
            <w:r w:rsidRPr="00AE2B00">
              <w:rPr>
                <w:sz w:val="22"/>
              </w:rPr>
              <w:t>10/14/2016</w:t>
            </w:r>
          </w:p>
        </w:tc>
        <w:tc>
          <w:tcPr>
            <w:tcW w:w="1870" w:type="dxa"/>
            <w:vAlign w:val="center"/>
          </w:tcPr>
          <w:p w14:paraId="5D4035CF" w14:textId="5E62A543" w:rsidR="00AE2B00" w:rsidRPr="00AE2B00" w:rsidRDefault="00AE2B00" w:rsidP="00AE2B00">
            <w:pPr>
              <w:jc w:val="center"/>
              <w:rPr>
                <w:sz w:val="22"/>
              </w:rPr>
            </w:pPr>
            <w:r w:rsidRPr="00AE2B00">
              <w:rPr>
                <w:sz w:val="22"/>
              </w:rPr>
              <w:t>4</w:t>
            </w:r>
          </w:p>
        </w:tc>
        <w:tc>
          <w:tcPr>
            <w:tcW w:w="1870" w:type="dxa"/>
            <w:vAlign w:val="center"/>
          </w:tcPr>
          <w:p w14:paraId="035D26C9" w14:textId="096AE12C" w:rsidR="00AE2B00" w:rsidRPr="00AE2B00" w:rsidRDefault="00AE2B00" w:rsidP="00AE2B00">
            <w:pPr>
              <w:jc w:val="center"/>
              <w:rPr>
                <w:sz w:val="22"/>
              </w:rPr>
            </w:pPr>
            <w:r w:rsidRPr="00AE2B00">
              <w:rPr>
                <w:sz w:val="22"/>
              </w:rPr>
              <w:t>222</w:t>
            </w:r>
          </w:p>
        </w:tc>
      </w:tr>
      <w:tr w:rsidR="00AE2B00" w14:paraId="5FF9AF4E" w14:textId="77777777" w:rsidTr="00AE2B00">
        <w:trPr>
          <w:trHeight w:val="288"/>
        </w:trPr>
        <w:tc>
          <w:tcPr>
            <w:tcW w:w="1870" w:type="dxa"/>
            <w:vAlign w:val="center"/>
          </w:tcPr>
          <w:p w14:paraId="18D150E3" w14:textId="644D02B0" w:rsidR="00AE2B00" w:rsidRPr="00AE2B00" w:rsidRDefault="00AE2B00" w:rsidP="00AE2B00">
            <w:pPr>
              <w:jc w:val="center"/>
              <w:rPr>
                <w:sz w:val="22"/>
              </w:rPr>
            </w:pPr>
            <w:r w:rsidRPr="00AE2B00">
              <w:rPr>
                <w:sz w:val="22"/>
              </w:rPr>
              <w:t>9</w:t>
            </w:r>
          </w:p>
        </w:tc>
        <w:tc>
          <w:tcPr>
            <w:tcW w:w="1870" w:type="dxa"/>
            <w:vAlign w:val="center"/>
          </w:tcPr>
          <w:p w14:paraId="3118DE0C" w14:textId="796D127E" w:rsidR="00AE2B00" w:rsidRPr="00AE2B00" w:rsidRDefault="00AE2B00" w:rsidP="00AE2B00">
            <w:pPr>
              <w:jc w:val="center"/>
              <w:rPr>
                <w:sz w:val="22"/>
              </w:rPr>
            </w:pPr>
            <w:r w:rsidRPr="00AE2B00">
              <w:rPr>
                <w:sz w:val="22"/>
              </w:rPr>
              <w:t>11/16/2016</w:t>
            </w:r>
          </w:p>
        </w:tc>
        <w:tc>
          <w:tcPr>
            <w:tcW w:w="1870" w:type="dxa"/>
            <w:vAlign w:val="center"/>
          </w:tcPr>
          <w:p w14:paraId="220B3413" w14:textId="686B75F0" w:rsidR="00AE2B00" w:rsidRPr="00AE2B00" w:rsidRDefault="00AE2B00" w:rsidP="00AE2B00">
            <w:pPr>
              <w:jc w:val="center"/>
              <w:rPr>
                <w:sz w:val="22"/>
              </w:rPr>
            </w:pPr>
            <w:r w:rsidRPr="00AE2B00">
              <w:rPr>
                <w:sz w:val="22"/>
              </w:rPr>
              <w:t>2/14/2017</w:t>
            </w:r>
          </w:p>
        </w:tc>
        <w:tc>
          <w:tcPr>
            <w:tcW w:w="1870" w:type="dxa"/>
            <w:vAlign w:val="center"/>
          </w:tcPr>
          <w:p w14:paraId="22D97BD8" w14:textId="7D98764A" w:rsidR="00AE2B00" w:rsidRPr="00AE2B00" w:rsidRDefault="00AE2B00" w:rsidP="00AE2B00">
            <w:pPr>
              <w:jc w:val="center"/>
              <w:rPr>
                <w:sz w:val="22"/>
              </w:rPr>
            </w:pPr>
            <w:r w:rsidRPr="00AE2B00">
              <w:rPr>
                <w:sz w:val="22"/>
              </w:rPr>
              <w:t>86</w:t>
            </w:r>
          </w:p>
        </w:tc>
        <w:tc>
          <w:tcPr>
            <w:tcW w:w="1870" w:type="dxa"/>
            <w:vAlign w:val="center"/>
          </w:tcPr>
          <w:p w14:paraId="0C70D720" w14:textId="5CFEE99F" w:rsidR="00AE2B00" w:rsidRPr="00AE2B00" w:rsidRDefault="00AE2B00" w:rsidP="00AE2B00">
            <w:pPr>
              <w:jc w:val="center"/>
              <w:rPr>
                <w:sz w:val="22"/>
              </w:rPr>
            </w:pPr>
            <w:r w:rsidRPr="00AE2B00">
              <w:rPr>
                <w:sz w:val="22"/>
              </w:rPr>
              <w:t>2,661</w:t>
            </w:r>
          </w:p>
        </w:tc>
      </w:tr>
      <w:tr w:rsidR="00AE2B00" w14:paraId="2FDAA092" w14:textId="77777777" w:rsidTr="00AE2B00">
        <w:trPr>
          <w:trHeight w:val="288"/>
        </w:trPr>
        <w:tc>
          <w:tcPr>
            <w:tcW w:w="1870" w:type="dxa"/>
            <w:vAlign w:val="center"/>
          </w:tcPr>
          <w:p w14:paraId="08C72486" w14:textId="3A55529A" w:rsidR="00AE2B00" w:rsidRPr="00AE2B00" w:rsidRDefault="00AE2B00" w:rsidP="00AE2B00">
            <w:pPr>
              <w:jc w:val="center"/>
              <w:rPr>
                <w:sz w:val="22"/>
              </w:rPr>
            </w:pPr>
            <w:r w:rsidRPr="00AE2B00">
              <w:rPr>
                <w:sz w:val="22"/>
              </w:rPr>
              <w:t>10</w:t>
            </w:r>
          </w:p>
        </w:tc>
        <w:tc>
          <w:tcPr>
            <w:tcW w:w="1870" w:type="dxa"/>
            <w:vAlign w:val="center"/>
          </w:tcPr>
          <w:p w14:paraId="5AD0CC58" w14:textId="764EAF9D" w:rsidR="00AE2B00" w:rsidRPr="00AE2B00" w:rsidRDefault="00AE2B00" w:rsidP="00AE2B00">
            <w:pPr>
              <w:jc w:val="center"/>
              <w:rPr>
                <w:sz w:val="22"/>
              </w:rPr>
            </w:pPr>
            <w:r w:rsidRPr="00AE2B00">
              <w:rPr>
                <w:sz w:val="22"/>
              </w:rPr>
              <w:t>9/15/2017</w:t>
            </w:r>
          </w:p>
        </w:tc>
        <w:tc>
          <w:tcPr>
            <w:tcW w:w="1870" w:type="dxa"/>
            <w:vAlign w:val="center"/>
          </w:tcPr>
          <w:p w14:paraId="173C377E" w14:textId="43B419CA" w:rsidR="00AE2B00" w:rsidRPr="00AE2B00" w:rsidRDefault="00AE2B00" w:rsidP="00AE2B00">
            <w:pPr>
              <w:jc w:val="center"/>
              <w:rPr>
                <w:sz w:val="22"/>
              </w:rPr>
            </w:pPr>
            <w:r w:rsidRPr="00AE2B00">
              <w:rPr>
                <w:sz w:val="22"/>
              </w:rPr>
              <w:t>10/12/2017</w:t>
            </w:r>
          </w:p>
        </w:tc>
        <w:tc>
          <w:tcPr>
            <w:tcW w:w="1870" w:type="dxa"/>
            <w:vAlign w:val="center"/>
          </w:tcPr>
          <w:p w14:paraId="7C29A959" w14:textId="6F4E28AE" w:rsidR="00AE2B00" w:rsidRPr="00AE2B00" w:rsidRDefault="00AE2B00" w:rsidP="00AE2B00">
            <w:pPr>
              <w:jc w:val="center"/>
              <w:rPr>
                <w:sz w:val="22"/>
              </w:rPr>
            </w:pPr>
            <w:r w:rsidRPr="00AE2B00">
              <w:rPr>
                <w:sz w:val="22"/>
              </w:rPr>
              <w:t>28</w:t>
            </w:r>
          </w:p>
        </w:tc>
        <w:tc>
          <w:tcPr>
            <w:tcW w:w="1870" w:type="dxa"/>
            <w:vAlign w:val="center"/>
          </w:tcPr>
          <w:p w14:paraId="6552AD99" w14:textId="247B944C" w:rsidR="00AE2B00" w:rsidRPr="00AE2B00" w:rsidRDefault="00AE2B00" w:rsidP="00AE2B00">
            <w:pPr>
              <w:jc w:val="center"/>
              <w:rPr>
                <w:sz w:val="22"/>
              </w:rPr>
            </w:pPr>
            <w:r w:rsidRPr="00AE2B00">
              <w:rPr>
                <w:sz w:val="22"/>
              </w:rPr>
              <w:t>1,353</w:t>
            </w:r>
          </w:p>
        </w:tc>
      </w:tr>
      <w:tr w:rsidR="00AE2B00" w14:paraId="4A5CAD32" w14:textId="77777777" w:rsidTr="00AE2B00">
        <w:trPr>
          <w:trHeight w:val="288"/>
        </w:trPr>
        <w:tc>
          <w:tcPr>
            <w:tcW w:w="1870" w:type="dxa"/>
            <w:vAlign w:val="center"/>
          </w:tcPr>
          <w:p w14:paraId="714EE0A5" w14:textId="33F4EF77" w:rsidR="00AE2B00" w:rsidRPr="00AE2B00" w:rsidRDefault="00AE2B00" w:rsidP="00AE2B00">
            <w:pPr>
              <w:jc w:val="center"/>
              <w:rPr>
                <w:sz w:val="22"/>
              </w:rPr>
            </w:pPr>
            <w:r w:rsidRPr="00AE2B00">
              <w:rPr>
                <w:sz w:val="22"/>
              </w:rPr>
              <w:t>11</w:t>
            </w:r>
          </w:p>
        </w:tc>
        <w:tc>
          <w:tcPr>
            <w:tcW w:w="1870" w:type="dxa"/>
            <w:vAlign w:val="center"/>
          </w:tcPr>
          <w:p w14:paraId="7A0D1173" w14:textId="5693897D" w:rsidR="00AE2B00" w:rsidRPr="00AE2B00" w:rsidRDefault="00AE2B00" w:rsidP="00AE2B00">
            <w:pPr>
              <w:jc w:val="center"/>
              <w:rPr>
                <w:sz w:val="22"/>
              </w:rPr>
            </w:pPr>
            <w:r w:rsidRPr="00AE2B00">
              <w:rPr>
                <w:sz w:val="22"/>
              </w:rPr>
              <w:t>12/1/2017</w:t>
            </w:r>
          </w:p>
        </w:tc>
        <w:tc>
          <w:tcPr>
            <w:tcW w:w="1870" w:type="dxa"/>
            <w:vAlign w:val="center"/>
          </w:tcPr>
          <w:p w14:paraId="62635E30" w14:textId="750E5168" w:rsidR="00AE2B00" w:rsidRPr="00AE2B00" w:rsidRDefault="00AE2B00" w:rsidP="00AE2B00">
            <w:pPr>
              <w:jc w:val="center"/>
              <w:rPr>
                <w:sz w:val="22"/>
              </w:rPr>
            </w:pPr>
            <w:r w:rsidRPr="00AE2B00">
              <w:rPr>
                <w:sz w:val="22"/>
              </w:rPr>
              <w:t>2/6/2018</w:t>
            </w:r>
          </w:p>
        </w:tc>
        <w:tc>
          <w:tcPr>
            <w:tcW w:w="1870" w:type="dxa"/>
            <w:vAlign w:val="center"/>
          </w:tcPr>
          <w:p w14:paraId="1921498E" w14:textId="4155EA2F" w:rsidR="00AE2B00" w:rsidRPr="00AE2B00" w:rsidRDefault="00AE2B00" w:rsidP="00AE2B00">
            <w:pPr>
              <w:jc w:val="center"/>
              <w:rPr>
                <w:sz w:val="22"/>
              </w:rPr>
            </w:pPr>
            <w:r w:rsidRPr="00AE2B00">
              <w:rPr>
                <w:sz w:val="22"/>
              </w:rPr>
              <w:t>68</w:t>
            </w:r>
          </w:p>
        </w:tc>
        <w:tc>
          <w:tcPr>
            <w:tcW w:w="1870" w:type="dxa"/>
            <w:vAlign w:val="center"/>
          </w:tcPr>
          <w:p w14:paraId="2D0F9891" w14:textId="1805DA07" w:rsidR="00AE2B00" w:rsidRPr="00AE2B00" w:rsidRDefault="00AE2B00" w:rsidP="00AE2B00">
            <w:pPr>
              <w:jc w:val="center"/>
              <w:rPr>
                <w:sz w:val="22"/>
              </w:rPr>
            </w:pPr>
            <w:r w:rsidRPr="00AE2B00">
              <w:rPr>
                <w:sz w:val="22"/>
              </w:rPr>
              <w:t>2,384</w:t>
            </w:r>
          </w:p>
        </w:tc>
      </w:tr>
      <w:tr w:rsidR="00AE2B00" w14:paraId="4DC08093" w14:textId="77777777" w:rsidTr="00AE2B00">
        <w:trPr>
          <w:trHeight w:val="288"/>
        </w:trPr>
        <w:tc>
          <w:tcPr>
            <w:tcW w:w="1870" w:type="dxa"/>
            <w:vAlign w:val="center"/>
          </w:tcPr>
          <w:p w14:paraId="606D2BAE" w14:textId="338A06ED" w:rsidR="00AE2B00" w:rsidRPr="00AE2B00" w:rsidRDefault="00AE2B00" w:rsidP="00AE2B00">
            <w:pPr>
              <w:jc w:val="center"/>
              <w:rPr>
                <w:sz w:val="22"/>
              </w:rPr>
            </w:pPr>
            <w:r w:rsidRPr="00AE2B00">
              <w:rPr>
                <w:sz w:val="22"/>
              </w:rPr>
              <w:t>12</w:t>
            </w:r>
          </w:p>
        </w:tc>
        <w:tc>
          <w:tcPr>
            <w:tcW w:w="1870" w:type="dxa"/>
            <w:vAlign w:val="center"/>
          </w:tcPr>
          <w:p w14:paraId="5731AE37" w14:textId="51387768" w:rsidR="00AE2B00" w:rsidRPr="00AE2B00" w:rsidRDefault="00AE2B00" w:rsidP="00AE2B00">
            <w:pPr>
              <w:jc w:val="center"/>
              <w:rPr>
                <w:sz w:val="22"/>
              </w:rPr>
            </w:pPr>
            <w:r w:rsidRPr="00AE2B00">
              <w:rPr>
                <w:sz w:val="22"/>
              </w:rPr>
              <w:t>11/19/2018</w:t>
            </w:r>
          </w:p>
        </w:tc>
        <w:tc>
          <w:tcPr>
            <w:tcW w:w="1870" w:type="dxa"/>
            <w:vAlign w:val="center"/>
          </w:tcPr>
          <w:p w14:paraId="27F5656C" w14:textId="7E49AB4B" w:rsidR="00AE2B00" w:rsidRPr="00AE2B00" w:rsidRDefault="00AE2B00" w:rsidP="00AE2B00">
            <w:pPr>
              <w:jc w:val="center"/>
              <w:rPr>
                <w:sz w:val="22"/>
              </w:rPr>
            </w:pPr>
            <w:r w:rsidRPr="00AE2B00">
              <w:rPr>
                <w:sz w:val="22"/>
              </w:rPr>
              <w:t>1/24/2019</w:t>
            </w:r>
          </w:p>
        </w:tc>
        <w:tc>
          <w:tcPr>
            <w:tcW w:w="1870" w:type="dxa"/>
            <w:vAlign w:val="center"/>
          </w:tcPr>
          <w:p w14:paraId="0C40BA3A" w14:textId="6B3D4644" w:rsidR="00AE2B00" w:rsidRPr="00AE2B00" w:rsidRDefault="00AE2B00" w:rsidP="00AE2B00">
            <w:pPr>
              <w:jc w:val="center"/>
              <w:rPr>
                <w:sz w:val="22"/>
              </w:rPr>
            </w:pPr>
            <w:r w:rsidRPr="00AE2B00">
              <w:rPr>
                <w:sz w:val="22"/>
              </w:rPr>
              <w:t>67</w:t>
            </w:r>
          </w:p>
        </w:tc>
        <w:tc>
          <w:tcPr>
            <w:tcW w:w="1870" w:type="dxa"/>
            <w:vAlign w:val="center"/>
          </w:tcPr>
          <w:p w14:paraId="2A34FC51" w14:textId="28BD9FCE" w:rsidR="00AE2B00" w:rsidRPr="00AE2B00" w:rsidRDefault="00AE2B00" w:rsidP="00AE2B00">
            <w:pPr>
              <w:jc w:val="center"/>
              <w:rPr>
                <w:sz w:val="22"/>
              </w:rPr>
            </w:pPr>
            <w:r w:rsidRPr="00AE2B00">
              <w:rPr>
                <w:sz w:val="22"/>
              </w:rPr>
              <w:t>2,904</w:t>
            </w:r>
          </w:p>
        </w:tc>
      </w:tr>
      <w:tr w:rsidR="00AE2B00" w14:paraId="7160EE2B" w14:textId="77777777" w:rsidTr="00AE2B00">
        <w:trPr>
          <w:trHeight w:val="288"/>
        </w:trPr>
        <w:tc>
          <w:tcPr>
            <w:tcW w:w="1870" w:type="dxa"/>
            <w:vAlign w:val="center"/>
          </w:tcPr>
          <w:p w14:paraId="6D115660" w14:textId="0DA87A7B" w:rsidR="00AE2B00" w:rsidRPr="00AE2B00" w:rsidRDefault="00AE2B00" w:rsidP="00AE2B00">
            <w:pPr>
              <w:jc w:val="center"/>
              <w:rPr>
                <w:sz w:val="22"/>
              </w:rPr>
            </w:pPr>
            <w:r w:rsidRPr="00AE2B00">
              <w:rPr>
                <w:sz w:val="22"/>
              </w:rPr>
              <w:t>13</w:t>
            </w:r>
          </w:p>
        </w:tc>
        <w:tc>
          <w:tcPr>
            <w:tcW w:w="1870" w:type="dxa"/>
            <w:vAlign w:val="center"/>
          </w:tcPr>
          <w:p w14:paraId="4D2B8BF2" w14:textId="136F6F97" w:rsidR="00AE2B00" w:rsidRPr="00AE2B00" w:rsidRDefault="00AE2B00" w:rsidP="00AE2B00">
            <w:pPr>
              <w:jc w:val="center"/>
              <w:rPr>
                <w:sz w:val="22"/>
              </w:rPr>
            </w:pPr>
            <w:r w:rsidRPr="00AE2B00">
              <w:rPr>
                <w:sz w:val="22"/>
              </w:rPr>
              <w:t>3/19/2020</w:t>
            </w:r>
          </w:p>
        </w:tc>
        <w:tc>
          <w:tcPr>
            <w:tcW w:w="1870" w:type="dxa"/>
            <w:vAlign w:val="center"/>
          </w:tcPr>
          <w:p w14:paraId="1AA4B27C" w14:textId="3518C275" w:rsidR="00AE2B00" w:rsidRPr="00AE2B00" w:rsidRDefault="00AE2B00" w:rsidP="00AE2B00">
            <w:pPr>
              <w:jc w:val="center"/>
              <w:rPr>
                <w:sz w:val="22"/>
              </w:rPr>
            </w:pPr>
            <w:r w:rsidRPr="00AE2B00">
              <w:rPr>
                <w:sz w:val="22"/>
              </w:rPr>
              <w:t>4/14/2020</w:t>
            </w:r>
          </w:p>
        </w:tc>
        <w:tc>
          <w:tcPr>
            <w:tcW w:w="1870" w:type="dxa"/>
            <w:vAlign w:val="center"/>
          </w:tcPr>
          <w:p w14:paraId="3B600448" w14:textId="11E8CABD" w:rsidR="00AE2B00" w:rsidRPr="00AE2B00" w:rsidRDefault="00AE2B00" w:rsidP="00AE2B00">
            <w:pPr>
              <w:jc w:val="center"/>
              <w:rPr>
                <w:sz w:val="22"/>
              </w:rPr>
            </w:pPr>
            <w:r w:rsidRPr="00AE2B00">
              <w:rPr>
                <w:sz w:val="22"/>
              </w:rPr>
              <w:t>27</w:t>
            </w:r>
          </w:p>
        </w:tc>
        <w:tc>
          <w:tcPr>
            <w:tcW w:w="1870" w:type="dxa"/>
            <w:vAlign w:val="center"/>
          </w:tcPr>
          <w:p w14:paraId="6D9111B3" w14:textId="2AB66C09" w:rsidR="00AE2B00" w:rsidRPr="00AE2B00" w:rsidRDefault="00AE2B00" w:rsidP="00AE2B00">
            <w:pPr>
              <w:jc w:val="center"/>
              <w:rPr>
                <w:sz w:val="22"/>
              </w:rPr>
            </w:pPr>
            <w:r w:rsidRPr="00AE2B00">
              <w:rPr>
                <w:sz w:val="22"/>
              </w:rPr>
              <w:t>910</w:t>
            </w:r>
          </w:p>
        </w:tc>
      </w:tr>
      <w:tr w:rsidR="00AE2B00" w14:paraId="469449BF" w14:textId="77777777" w:rsidTr="00AE2B00">
        <w:trPr>
          <w:trHeight w:val="288"/>
        </w:trPr>
        <w:tc>
          <w:tcPr>
            <w:tcW w:w="1870" w:type="dxa"/>
            <w:vAlign w:val="center"/>
          </w:tcPr>
          <w:p w14:paraId="2E9DE86D" w14:textId="335B51AA" w:rsidR="00AE2B00" w:rsidRPr="00AE2B00" w:rsidRDefault="00AE2B00" w:rsidP="00AE2B00">
            <w:pPr>
              <w:jc w:val="center"/>
              <w:rPr>
                <w:sz w:val="22"/>
              </w:rPr>
            </w:pPr>
            <w:r w:rsidRPr="00AE2B00">
              <w:rPr>
                <w:sz w:val="22"/>
              </w:rPr>
              <w:t>14</w:t>
            </w:r>
          </w:p>
        </w:tc>
        <w:tc>
          <w:tcPr>
            <w:tcW w:w="1870" w:type="dxa"/>
            <w:vAlign w:val="center"/>
          </w:tcPr>
          <w:p w14:paraId="7AEA5A5C" w14:textId="5158A9AB" w:rsidR="00AE2B00" w:rsidRPr="00AE2B00" w:rsidRDefault="00AE2B00" w:rsidP="00AE2B00">
            <w:pPr>
              <w:jc w:val="center"/>
              <w:rPr>
                <w:sz w:val="22"/>
              </w:rPr>
            </w:pPr>
            <w:r w:rsidRPr="00AE2B00">
              <w:rPr>
                <w:sz w:val="22"/>
              </w:rPr>
              <w:t>9/21/2020</w:t>
            </w:r>
          </w:p>
        </w:tc>
        <w:tc>
          <w:tcPr>
            <w:tcW w:w="1870" w:type="dxa"/>
            <w:vAlign w:val="center"/>
          </w:tcPr>
          <w:p w14:paraId="0B99878B" w14:textId="5171E6D4" w:rsidR="00AE2B00" w:rsidRPr="00AE2B00" w:rsidRDefault="00AE2B00" w:rsidP="00AE2B00">
            <w:pPr>
              <w:jc w:val="center"/>
              <w:rPr>
                <w:sz w:val="22"/>
              </w:rPr>
            </w:pPr>
            <w:r w:rsidRPr="00AE2B00">
              <w:rPr>
                <w:sz w:val="22"/>
              </w:rPr>
              <w:t>9/22/2020</w:t>
            </w:r>
          </w:p>
        </w:tc>
        <w:tc>
          <w:tcPr>
            <w:tcW w:w="1870" w:type="dxa"/>
            <w:vAlign w:val="center"/>
          </w:tcPr>
          <w:p w14:paraId="1BF18663" w14:textId="19B12776" w:rsidR="00AE2B00" w:rsidRPr="00AE2B00" w:rsidRDefault="00AE2B00" w:rsidP="00AE2B00">
            <w:pPr>
              <w:jc w:val="center"/>
              <w:rPr>
                <w:sz w:val="22"/>
              </w:rPr>
            </w:pPr>
            <w:r w:rsidRPr="00AE2B00">
              <w:rPr>
                <w:sz w:val="22"/>
              </w:rPr>
              <w:t>2</w:t>
            </w:r>
          </w:p>
        </w:tc>
        <w:tc>
          <w:tcPr>
            <w:tcW w:w="1870" w:type="dxa"/>
            <w:vAlign w:val="center"/>
          </w:tcPr>
          <w:p w14:paraId="1BBD41DC" w14:textId="3C43A88B" w:rsidR="00AE2B00" w:rsidRPr="00AE2B00" w:rsidRDefault="00AE2B00" w:rsidP="00AE2B00">
            <w:pPr>
              <w:jc w:val="center"/>
              <w:rPr>
                <w:sz w:val="22"/>
              </w:rPr>
            </w:pPr>
            <w:r w:rsidRPr="00AE2B00">
              <w:rPr>
                <w:sz w:val="22"/>
              </w:rPr>
              <w:t>21</w:t>
            </w:r>
          </w:p>
        </w:tc>
      </w:tr>
      <w:tr w:rsidR="00AE2B00" w14:paraId="742150C4" w14:textId="77777777" w:rsidTr="00AE2B00">
        <w:trPr>
          <w:trHeight w:val="288"/>
        </w:trPr>
        <w:tc>
          <w:tcPr>
            <w:tcW w:w="1870" w:type="dxa"/>
            <w:vAlign w:val="center"/>
          </w:tcPr>
          <w:p w14:paraId="41DE0066" w14:textId="0AA5ABB3" w:rsidR="00AE2B00" w:rsidRPr="00AE2B00" w:rsidRDefault="00AE2B00" w:rsidP="00AE2B00">
            <w:pPr>
              <w:jc w:val="center"/>
              <w:rPr>
                <w:sz w:val="22"/>
              </w:rPr>
            </w:pPr>
            <w:r w:rsidRPr="00AE2B00">
              <w:rPr>
                <w:sz w:val="22"/>
              </w:rPr>
              <w:t>15</w:t>
            </w:r>
          </w:p>
        </w:tc>
        <w:tc>
          <w:tcPr>
            <w:tcW w:w="1870" w:type="dxa"/>
            <w:vAlign w:val="center"/>
          </w:tcPr>
          <w:p w14:paraId="7CC224FD" w14:textId="10B8A548" w:rsidR="00AE2B00" w:rsidRPr="00AE2B00" w:rsidRDefault="00AE2B00" w:rsidP="00AE2B00">
            <w:pPr>
              <w:jc w:val="center"/>
              <w:rPr>
                <w:sz w:val="22"/>
              </w:rPr>
            </w:pPr>
            <w:r w:rsidRPr="00AE2B00">
              <w:rPr>
                <w:sz w:val="22"/>
              </w:rPr>
              <w:t>11/17/2020</w:t>
            </w:r>
          </w:p>
        </w:tc>
        <w:tc>
          <w:tcPr>
            <w:tcW w:w="1870" w:type="dxa"/>
            <w:vAlign w:val="center"/>
          </w:tcPr>
          <w:p w14:paraId="3F11F93E" w14:textId="68DE7A68" w:rsidR="00AE2B00" w:rsidRPr="00AE2B00" w:rsidRDefault="00AE2B00" w:rsidP="00F401B2">
            <w:pPr>
              <w:jc w:val="center"/>
              <w:rPr>
                <w:sz w:val="22"/>
              </w:rPr>
            </w:pPr>
            <w:r w:rsidRPr="00AE2B00">
              <w:rPr>
                <w:sz w:val="22"/>
              </w:rPr>
              <w:t>11/</w:t>
            </w:r>
            <w:r w:rsidR="00F401B2">
              <w:rPr>
                <w:sz w:val="22"/>
              </w:rPr>
              <w:t>23</w:t>
            </w:r>
            <w:r w:rsidRPr="00AE2B00">
              <w:rPr>
                <w:sz w:val="22"/>
              </w:rPr>
              <w:t>/2020</w:t>
            </w:r>
          </w:p>
        </w:tc>
        <w:tc>
          <w:tcPr>
            <w:tcW w:w="1870" w:type="dxa"/>
            <w:vAlign w:val="center"/>
          </w:tcPr>
          <w:p w14:paraId="2F9398C4" w14:textId="7E6A7E7C" w:rsidR="00AE2B00" w:rsidRPr="00AE2B00" w:rsidRDefault="00AE2B00" w:rsidP="00AE2B00">
            <w:pPr>
              <w:jc w:val="center"/>
              <w:rPr>
                <w:sz w:val="22"/>
              </w:rPr>
            </w:pPr>
            <w:r w:rsidRPr="00AE2B00">
              <w:rPr>
                <w:sz w:val="22"/>
              </w:rPr>
              <w:t>7</w:t>
            </w:r>
          </w:p>
        </w:tc>
        <w:tc>
          <w:tcPr>
            <w:tcW w:w="1870" w:type="dxa"/>
            <w:vAlign w:val="center"/>
          </w:tcPr>
          <w:p w14:paraId="4C58577E" w14:textId="56834E83" w:rsidR="00AE2B00" w:rsidRPr="00AE2B00" w:rsidRDefault="00AE2B00" w:rsidP="00AE2B00">
            <w:pPr>
              <w:jc w:val="center"/>
              <w:rPr>
                <w:sz w:val="22"/>
              </w:rPr>
            </w:pPr>
            <w:r w:rsidRPr="00AE2B00">
              <w:rPr>
                <w:sz w:val="22"/>
              </w:rPr>
              <w:t>809</w:t>
            </w:r>
          </w:p>
        </w:tc>
      </w:tr>
      <w:tr w:rsidR="00AE2B00" w14:paraId="34B28188" w14:textId="77777777" w:rsidTr="00AE2B00">
        <w:trPr>
          <w:trHeight w:val="288"/>
        </w:trPr>
        <w:tc>
          <w:tcPr>
            <w:tcW w:w="1870" w:type="dxa"/>
            <w:vAlign w:val="center"/>
          </w:tcPr>
          <w:p w14:paraId="3D2460CB" w14:textId="0667CDFC" w:rsidR="00AE2B00" w:rsidRPr="00AE2B00" w:rsidRDefault="00AE2B00" w:rsidP="00AE2B00">
            <w:pPr>
              <w:jc w:val="center"/>
              <w:rPr>
                <w:sz w:val="22"/>
              </w:rPr>
            </w:pPr>
            <w:r w:rsidRPr="00AE2B00">
              <w:rPr>
                <w:sz w:val="22"/>
              </w:rPr>
              <w:t>16</w:t>
            </w:r>
          </w:p>
        </w:tc>
        <w:tc>
          <w:tcPr>
            <w:tcW w:w="1870" w:type="dxa"/>
            <w:vAlign w:val="center"/>
          </w:tcPr>
          <w:p w14:paraId="37A233AC" w14:textId="57560095" w:rsidR="00AE2B00" w:rsidRPr="00AE2B00" w:rsidRDefault="00AE2B00" w:rsidP="00AE2B00">
            <w:pPr>
              <w:jc w:val="center"/>
              <w:rPr>
                <w:sz w:val="22"/>
              </w:rPr>
            </w:pPr>
            <w:r w:rsidRPr="00AE2B00">
              <w:rPr>
                <w:sz w:val="22"/>
              </w:rPr>
              <w:t>11/30/2020</w:t>
            </w:r>
          </w:p>
        </w:tc>
        <w:tc>
          <w:tcPr>
            <w:tcW w:w="1870" w:type="dxa"/>
            <w:vAlign w:val="center"/>
          </w:tcPr>
          <w:p w14:paraId="64A524D9" w14:textId="19612B46" w:rsidR="00AE2B00" w:rsidRPr="00AE2B00" w:rsidRDefault="00AE2B00" w:rsidP="00AE2B00">
            <w:pPr>
              <w:jc w:val="center"/>
              <w:rPr>
                <w:sz w:val="22"/>
              </w:rPr>
            </w:pPr>
            <w:r w:rsidRPr="00AE2B00">
              <w:rPr>
                <w:sz w:val="22"/>
              </w:rPr>
              <w:t>12/3/2020</w:t>
            </w:r>
          </w:p>
        </w:tc>
        <w:tc>
          <w:tcPr>
            <w:tcW w:w="1870" w:type="dxa"/>
            <w:vAlign w:val="center"/>
          </w:tcPr>
          <w:p w14:paraId="2E839118" w14:textId="3FC5D96C" w:rsidR="00AE2B00" w:rsidRPr="00AE2B00" w:rsidRDefault="00AE2B00" w:rsidP="00AE2B00">
            <w:pPr>
              <w:jc w:val="center"/>
              <w:rPr>
                <w:sz w:val="22"/>
              </w:rPr>
            </w:pPr>
            <w:r w:rsidRPr="00AE2B00">
              <w:rPr>
                <w:sz w:val="22"/>
              </w:rPr>
              <w:t>4</w:t>
            </w:r>
          </w:p>
        </w:tc>
        <w:tc>
          <w:tcPr>
            <w:tcW w:w="1870" w:type="dxa"/>
            <w:vAlign w:val="center"/>
          </w:tcPr>
          <w:p w14:paraId="08620DA7" w14:textId="2432D888" w:rsidR="00AE2B00" w:rsidRPr="00AE2B00" w:rsidRDefault="00AE2B00" w:rsidP="00AE2B00">
            <w:pPr>
              <w:jc w:val="center"/>
              <w:rPr>
                <w:sz w:val="22"/>
              </w:rPr>
            </w:pPr>
            <w:r w:rsidRPr="00AE2B00">
              <w:rPr>
                <w:sz w:val="22"/>
              </w:rPr>
              <w:t>246</w:t>
            </w:r>
          </w:p>
        </w:tc>
      </w:tr>
      <w:tr w:rsidR="00AE2B00" w14:paraId="6C977483" w14:textId="77777777" w:rsidTr="00AE2B00">
        <w:trPr>
          <w:trHeight w:val="288"/>
        </w:trPr>
        <w:tc>
          <w:tcPr>
            <w:tcW w:w="5610" w:type="dxa"/>
            <w:gridSpan w:val="3"/>
            <w:shd w:val="clear" w:color="auto" w:fill="BFBFBF" w:themeFill="background1" w:themeFillShade="BF"/>
            <w:vAlign w:val="center"/>
          </w:tcPr>
          <w:p w14:paraId="64598A41" w14:textId="2A87F8FF" w:rsidR="00AE2B00" w:rsidRPr="00AE2B00" w:rsidRDefault="00AE2B00" w:rsidP="00AE2B00">
            <w:pPr>
              <w:jc w:val="right"/>
              <w:rPr>
                <w:b/>
                <w:bCs/>
                <w:sz w:val="22"/>
              </w:rPr>
            </w:pPr>
            <w:r w:rsidRPr="00AE2B00">
              <w:rPr>
                <w:b/>
                <w:bCs/>
                <w:sz w:val="22"/>
              </w:rPr>
              <w:t>Total</w:t>
            </w:r>
          </w:p>
        </w:tc>
        <w:tc>
          <w:tcPr>
            <w:tcW w:w="1870" w:type="dxa"/>
            <w:shd w:val="clear" w:color="auto" w:fill="BFBFBF" w:themeFill="background1" w:themeFillShade="BF"/>
            <w:vAlign w:val="center"/>
          </w:tcPr>
          <w:p w14:paraId="5A19B9C0" w14:textId="4DA99A25" w:rsidR="00AE2B00" w:rsidRPr="00AE2B00" w:rsidRDefault="00AE2B00" w:rsidP="00AE2B00">
            <w:pPr>
              <w:jc w:val="center"/>
              <w:rPr>
                <w:b/>
                <w:bCs/>
                <w:sz w:val="22"/>
              </w:rPr>
            </w:pPr>
            <w:r w:rsidRPr="00AE2B00">
              <w:rPr>
                <w:b/>
                <w:bCs/>
                <w:sz w:val="22"/>
              </w:rPr>
              <w:t>720</w:t>
            </w:r>
          </w:p>
        </w:tc>
        <w:tc>
          <w:tcPr>
            <w:tcW w:w="1870" w:type="dxa"/>
            <w:shd w:val="clear" w:color="auto" w:fill="BFBFBF" w:themeFill="background1" w:themeFillShade="BF"/>
            <w:vAlign w:val="center"/>
          </w:tcPr>
          <w:p w14:paraId="27F7E84C" w14:textId="7E8B54E1" w:rsidR="00AE2B00" w:rsidRPr="00AE2B00" w:rsidRDefault="00AE2B00" w:rsidP="00AE2B00">
            <w:pPr>
              <w:jc w:val="center"/>
              <w:rPr>
                <w:b/>
                <w:bCs/>
                <w:sz w:val="22"/>
              </w:rPr>
            </w:pPr>
            <w:r w:rsidRPr="00AE2B00">
              <w:rPr>
                <w:b/>
                <w:bCs/>
                <w:sz w:val="22"/>
              </w:rPr>
              <w:t>28,422</w:t>
            </w:r>
          </w:p>
        </w:tc>
      </w:tr>
    </w:tbl>
    <w:p w14:paraId="79F8064F" w14:textId="77777777" w:rsidR="00BE7043" w:rsidRDefault="00BE7043" w:rsidP="00517A78"/>
    <w:p w14:paraId="6EB57093" w14:textId="38ACBCDE" w:rsidR="005D69BA" w:rsidRDefault="00E65075" w:rsidP="00517A78">
      <w:pPr>
        <w:rPr>
          <w:szCs w:val="24"/>
        </w:rPr>
      </w:pPr>
      <w:r>
        <w:rPr>
          <w:szCs w:val="24"/>
        </w:rPr>
        <w:t>After factoring in precipitation and evaporation, a</w:t>
      </w:r>
      <w:r w:rsidR="00ED585E">
        <w:rPr>
          <w:szCs w:val="24"/>
        </w:rPr>
        <w:t xml:space="preserve">dditional seepage between the </w:t>
      </w:r>
      <w:r w:rsidR="00AA6440">
        <w:rPr>
          <w:szCs w:val="24"/>
        </w:rPr>
        <w:t xml:space="preserve">Phelps </w:t>
      </w:r>
      <w:r w:rsidR="00ED585E">
        <w:rPr>
          <w:szCs w:val="24"/>
        </w:rPr>
        <w:t xml:space="preserve">canal headgate and the flume at MP 1.6 </w:t>
      </w:r>
      <w:r w:rsidR="0000740D">
        <w:rPr>
          <w:szCs w:val="24"/>
        </w:rPr>
        <w:t>is estimated</w:t>
      </w:r>
      <w:r w:rsidR="00ED585E">
        <w:rPr>
          <w:szCs w:val="24"/>
        </w:rPr>
        <w:t xml:space="preserve"> in the accounting analysis based on the average seepage rate from MP 1.6 to MP 13.3.</w:t>
      </w:r>
      <w:r>
        <w:rPr>
          <w:szCs w:val="24"/>
        </w:rPr>
        <w:t xml:space="preserve">  Daily recharge is then summed to monthly totals.</w:t>
      </w:r>
      <w:r w:rsidR="00ED585E">
        <w:rPr>
          <w:szCs w:val="24"/>
        </w:rPr>
        <w:t xml:space="preserve">  </w:t>
      </w:r>
      <w:r w:rsidR="00FC7582">
        <w:rPr>
          <w:szCs w:val="24"/>
        </w:rPr>
        <w:t xml:space="preserve">Lagged accretions to the Platte River on a monthly basis are determined </w:t>
      </w:r>
      <w:r w:rsidR="00AE37D6">
        <w:rPr>
          <w:szCs w:val="24"/>
        </w:rPr>
        <w:t xml:space="preserve">using a </w:t>
      </w:r>
      <w:r w:rsidR="00830660">
        <w:rPr>
          <w:szCs w:val="24"/>
        </w:rPr>
        <w:t>URF</w:t>
      </w:r>
      <w:r w:rsidR="00FC7582">
        <w:rPr>
          <w:szCs w:val="24"/>
        </w:rPr>
        <w:t xml:space="preserve"> that was </w:t>
      </w:r>
      <w:r w:rsidR="00B14085">
        <w:rPr>
          <w:szCs w:val="24"/>
        </w:rPr>
        <w:t>developed based on</w:t>
      </w:r>
      <w:r w:rsidR="00FC7582">
        <w:rPr>
          <w:szCs w:val="24"/>
        </w:rPr>
        <w:t xml:space="preserve"> the groundwater model used for the project score analysis.</w:t>
      </w:r>
      <w:r w:rsidR="00B14085">
        <w:rPr>
          <w:rStyle w:val="FootnoteReference"/>
          <w:szCs w:val="24"/>
        </w:rPr>
        <w:footnoteReference w:id="8"/>
      </w:r>
      <w:r w:rsidR="00DA2C06">
        <w:rPr>
          <w:szCs w:val="24"/>
        </w:rPr>
        <w:t xml:space="preserve">  </w:t>
      </w:r>
      <w:r w:rsidR="00DA2C06" w:rsidRPr="005D69BA">
        <w:rPr>
          <w:b/>
          <w:bCs/>
          <w:szCs w:val="24"/>
        </w:rPr>
        <w:t xml:space="preserve">Figure </w:t>
      </w:r>
      <w:r w:rsidR="006B0B60">
        <w:rPr>
          <w:b/>
          <w:bCs/>
          <w:szCs w:val="24"/>
        </w:rPr>
        <w:t>1</w:t>
      </w:r>
      <w:r w:rsidR="00DA2C06">
        <w:rPr>
          <w:szCs w:val="24"/>
        </w:rPr>
        <w:t xml:space="preserve"> illustrates the </w:t>
      </w:r>
      <w:r w:rsidR="005D69BA">
        <w:rPr>
          <w:szCs w:val="24"/>
        </w:rPr>
        <w:t xml:space="preserve">monthly and cumulative </w:t>
      </w:r>
      <w:r w:rsidR="008D74C7">
        <w:rPr>
          <w:szCs w:val="24"/>
        </w:rPr>
        <w:t>unit responses</w:t>
      </w:r>
      <w:r w:rsidR="005D69BA">
        <w:rPr>
          <w:szCs w:val="24"/>
        </w:rPr>
        <w:t xml:space="preserve"> for the first 10 years</w:t>
      </w:r>
      <w:r w:rsidR="00C75363">
        <w:rPr>
          <w:szCs w:val="24"/>
        </w:rPr>
        <w:t xml:space="preserve"> (120 months)</w:t>
      </w:r>
      <w:r w:rsidR="00EF1CDC">
        <w:rPr>
          <w:szCs w:val="24"/>
        </w:rPr>
        <w:t xml:space="preserve">; the full </w:t>
      </w:r>
      <w:r w:rsidR="008D74C7">
        <w:rPr>
          <w:szCs w:val="24"/>
        </w:rPr>
        <w:t>URF is</w:t>
      </w:r>
      <w:r w:rsidR="00EF1CDC">
        <w:rPr>
          <w:szCs w:val="24"/>
        </w:rPr>
        <w:t xml:space="preserve"> calculated out for 50 years (600 months)</w:t>
      </w:r>
      <w:r w:rsidR="005D69BA">
        <w:rPr>
          <w:szCs w:val="24"/>
        </w:rPr>
        <w:t>.</w:t>
      </w:r>
    </w:p>
    <w:p w14:paraId="34B93699" w14:textId="46F43A0D" w:rsidR="00DA2C06" w:rsidRDefault="00040EDE" w:rsidP="00517A78">
      <w:r>
        <w:rPr>
          <w:noProof/>
        </w:rPr>
        <w:lastRenderedPageBreak/>
        <w:drawing>
          <wp:inline distT="0" distB="0" distL="0" distR="0" wp14:anchorId="66F2F004" wp14:editId="3EBAECB3">
            <wp:extent cx="5904044" cy="4286250"/>
            <wp:effectExtent l="0" t="0" r="1905"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912945" cy="4292712"/>
                    </a:xfrm>
                    <a:prstGeom prst="rect">
                      <a:avLst/>
                    </a:prstGeom>
                    <a:noFill/>
                  </pic:spPr>
                </pic:pic>
              </a:graphicData>
            </a:graphic>
          </wp:inline>
        </w:drawing>
      </w:r>
      <w:r w:rsidR="009119E2">
        <w:t xml:space="preserve"> </w:t>
      </w:r>
    </w:p>
    <w:p w14:paraId="240AEA26" w14:textId="1D84CEFA" w:rsidR="00517A78" w:rsidRPr="00517A78" w:rsidRDefault="00517A78" w:rsidP="00517A78">
      <w:pPr>
        <w:rPr>
          <w:b/>
          <w:bCs/>
          <w:sz w:val="22"/>
        </w:rPr>
      </w:pPr>
      <w:r w:rsidRPr="00517A78">
        <w:rPr>
          <w:b/>
          <w:bCs/>
          <w:sz w:val="22"/>
        </w:rPr>
        <w:t>Figure</w:t>
      </w:r>
      <w:r w:rsidR="006B0B60">
        <w:rPr>
          <w:b/>
          <w:bCs/>
          <w:sz w:val="22"/>
        </w:rPr>
        <w:t xml:space="preserve"> 1. Monthly and Cumulative Unit Response for Phelps County Canal Recharge</w:t>
      </w:r>
    </w:p>
    <w:p w14:paraId="669343AA" w14:textId="77777777" w:rsidR="00517A78" w:rsidRDefault="00517A78" w:rsidP="00517A78"/>
    <w:p w14:paraId="0725D308" w14:textId="0254E9B3" w:rsidR="00A70D22" w:rsidRDefault="000075FF" w:rsidP="00517A78">
      <w:r>
        <w:t>Much of the upper extent of the Phelps County Canal used for recharge operations is located within two miles or less of the Platte River channel.  Owing to this close proximity</w:t>
      </w:r>
      <w:r w:rsidR="00314253">
        <w:t xml:space="preserve"> as well as the presence of several drains</w:t>
      </w:r>
      <w:r>
        <w:t>, t</w:t>
      </w:r>
      <w:r w:rsidR="005D69BA">
        <w:t xml:space="preserve">he monthly </w:t>
      </w:r>
      <w:r w:rsidR="00AA6440">
        <w:t>unit response</w:t>
      </w:r>
      <w:r w:rsidR="005D69BA">
        <w:t xml:space="preserve"> shows that accretions from Phelps recharge increase rapidly and peak in the third month, followed by a fairly rapid decline and a long tail that very slowly approaches zero.</w:t>
      </w:r>
      <w:r w:rsidR="00FA2225">
        <w:t xml:space="preserve">  The magnitude of the actual response curve is scaled according to the volume of water recharged at a given time.  Each successive period of recharge initiates a new response curve that is added to those from earlier recharge operations through the principle of superposition.</w:t>
      </w:r>
      <w:r w:rsidR="00A70D22">
        <w:t xml:space="preserve">  </w:t>
      </w:r>
      <w:r w:rsidR="00A70D22" w:rsidRPr="00A70D22">
        <w:rPr>
          <w:b/>
          <w:bCs/>
        </w:rPr>
        <w:t xml:space="preserve">Figure </w:t>
      </w:r>
      <w:r w:rsidR="006B0B60">
        <w:rPr>
          <w:b/>
          <w:bCs/>
        </w:rPr>
        <w:t>2</w:t>
      </w:r>
      <w:r w:rsidR="00A70D22">
        <w:t xml:space="preserve"> shows the timing and magnitude of Phelps recharge coupled with the </w:t>
      </w:r>
      <w:r w:rsidR="00AA6440">
        <w:t xml:space="preserve">volumetric </w:t>
      </w:r>
      <w:r w:rsidR="00A70D22">
        <w:t>accretions calculated using the URF through the end of 2020.</w:t>
      </w:r>
    </w:p>
    <w:p w14:paraId="78F390F9" w14:textId="67EEDE19" w:rsidR="00FA2225" w:rsidRDefault="00040EDE" w:rsidP="00517A78">
      <w:r>
        <w:rPr>
          <w:noProof/>
        </w:rPr>
        <w:lastRenderedPageBreak/>
        <w:drawing>
          <wp:inline distT="0" distB="0" distL="0" distR="0" wp14:anchorId="738658E3" wp14:editId="122EB0F4">
            <wp:extent cx="5944880" cy="4314825"/>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950354" cy="4318798"/>
                    </a:xfrm>
                    <a:prstGeom prst="rect">
                      <a:avLst/>
                    </a:prstGeom>
                    <a:noFill/>
                  </pic:spPr>
                </pic:pic>
              </a:graphicData>
            </a:graphic>
          </wp:inline>
        </w:drawing>
      </w:r>
      <w:r w:rsidR="00A70D22">
        <w:t xml:space="preserve"> </w:t>
      </w:r>
    </w:p>
    <w:p w14:paraId="533661D3" w14:textId="3B9296A2" w:rsidR="003147A4" w:rsidRPr="00322D86" w:rsidRDefault="003147A4" w:rsidP="00517A78">
      <w:pPr>
        <w:rPr>
          <w:b/>
          <w:bCs/>
          <w:sz w:val="22"/>
        </w:rPr>
      </w:pPr>
      <w:r w:rsidRPr="00322D86">
        <w:rPr>
          <w:b/>
          <w:bCs/>
          <w:sz w:val="22"/>
        </w:rPr>
        <w:t>Figure</w:t>
      </w:r>
      <w:r w:rsidR="006B0B60">
        <w:rPr>
          <w:b/>
          <w:bCs/>
          <w:sz w:val="22"/>
        </w:rPr>
        <w:t xml:space="preserve"> 2.  Phelps</w:t>
      </w:r>
      <w:r w:rsidR="0047513B">
        <w:rPr>
          <w:b/>
          <w:bCs/>
          <w:sz w:val="22"/>
        </w:rPr>
        <w:t xml:space="preserve"> Canal</w:t>
      </w:r>
      <w:r w:rsidR="006B0B60">
        <w:rPr>
          <w:b/>
          <w:bCs/>
          <w:sz w:val="22"/>
        </w:rPr>
        <w:t xml:space="preserve"> Recharge (Seepage) and Return Flow (Accretion)</w:t>
      </w:r>
      <w:r w:rsidR="00770803">
        <w:rPr>
          <w:b/>
          <w:bCs/>
          <w:sz w:val="22"/>
        </w:rPr>
        <w:t xml:space="preserve"> Volumes by Month</w:t>
      </w:r>
    </w:p>
    <w:p w14:paraId="7D0DCD45" w14:textId="77777777" w:rsidR="00517A78" w:rsidRDefault="00517A78" w:rsidP="00517A78">
      <w:pPr>
        <w:rPr>
          <w:b/>
          <w:bCs/>
        </w:rPr>
      </w:pPr>
    </w:p>
    <w:p w14:paraId="0D4AC2DD" w14:textId="633FC368" w:rsidR="00323D3A" w:rsidRDefault="00323D3A" w:rsidP="00517A78">
      <w:r w:rsidRPr="005B7162">
        <w:rPr>
          <w:b/>
          <w:bCs/>
        </w:rPr>
        <w:t xml:space="preserve">Table </w:t>
      </w:r>
      <w:r w:rsidR="003147A4">
        <w:rPr>
          <w:b/>
          <w:bCs/>
        </w:rPr>
        <w:t>4</w:t>
      </w:r>
      <w:r>
        <w:t xml:space="preserve"> shows the cumulative return</w:t>
      </w:r>
      <w:r w:rsidR="005B7162">
        <w:t xml:space="preserve"> percentages</w:t>
      </w:r>
      <w:r>
        <w:t xml:space="preserve"> at several intervals.  After one year, accretions</w:t>
      </w:r>
      <w:r w:rsidR="008E0FBD">
        <w:t xml:space="preserve"> from Phelps recharge</w:t>
      </w:r>
      <w:r>
        <w:t xml:space="preserve"> exceed 50% of the recharged volume, and after 10 years, 84% of recharged water has returned to the river.  In practical terms what this means is that by the end of 2020, more than 80% of the water recharged in the first years of project operations (between September 2011 and </w:t>
      </w:r>
      <w:r w:rsidR="00DE6B20">
        <w:t xml:space="preserve">March 2013) </w:t>
      </w:r>
      <w:r w:rsidR="0019003C">
        <w:t xml:space="preserve">had </w:t>
      </w:r>
      <w:r w:rsidR="00DE6B20">
        <w:t>returned to the Platte River as lagged accretions.</w:t>
      </w:r>
      <w:r w:rsidR="005D69BA">
        <w:t xml:space="preserve"> </w:t>
      </w:r>
    </w:p>
    <w:p w14:paraId="0017A022" w14:textId="77777777" w:rsidR="00517A78" w:rsidRDefault="00517A78" w:rsidP="00517A78"/>
    <w:p w14:paraId="0715A388" w14:textId="196774B6" w:rsidR="00DA2C06" w:rsidRDefault="005D69BA" w:rsidP="00517A78">
      <w:pPr>
        <w:rPr>
          <w:szCs w:val="24"/>
        </w:rPr>
      </w:pPr>
      <w:r>
        <w:rPr>
          <w:szCs w:val="24"/>
        </w:rPr>
        <w:t xml:space="preserve"> </w:t>
      </w:r>
      <w:r w:rsidR="002B37FE" w:rsidRPr="00F0076A">
        <w:rPr>
          <w:b/>
          <w:bCs/>
          <w:szCs w:val="24"/>
        </w:rPr>
        <w:t xml:space="preserve">Table </w:t>
      </w:r>
      <w:r w:rsidR="003147A4">
        <w:rPr>
          <w:b/>
          <w:bCs/>
          <w:szCs w:val="24"/>
        </w:rPr>
        <w:t>4</w:t>
      </w:r>
      <w:r w:rsidR="002B37FE" w:rsidRPr="00F0076A">
        <w:rPr>
          <w:b/>
          <w:bCs/>
          <w:szCs w:val="24"/>
        </w:rPr>
        <w:t xml:space="preserve">.  </w:t>
      </w:r>
      <w:r w:rsidR="002B37FE">
        <w:rPr>
          <w:b/>
          <w:bCs/>
          <w:szCs w:val="24"/>
        </w:rPr>
        <w:t>Phelps</w:t>
      </w:r>
      <w:r w:rsidR="002B37FE" w:rsidRPr="00F0076A">
        <w:rPr>
          <w:b/>
          <w:bCs/>
          <w:szCs w:val="24"/>
        </w:rPr>
        <w:t xml:space="preserve"> Recharge Project Cumulative Return Percentage from URF</w:t>
      </w:r>
    </w:p>
    <w:tbl>
      <w:tblPr>
        <w:tblStyle w:val="TableGrid"/>
        <w:tblW w:w="0" w:type="auto"/>
        <w:tblLook w:val="04A0" w:firstRow="1" w:lastRow="0" w:firstColumn="1" w:lastColumn="0" w:noHBand="0" w:noVBand="1"/>
      </w:tblPr>
      <w:tblGrid>
        <w:gridCol w:w="1418"/>
        <w:gridCol w:w="1306"/>
        <w:gridCol w:w="1329"/>
        <w:gridCol w:w="1329"/>
        <w:gridCol w:w="1330"/>
        <w:gridCol w:w="1352"/>
        <w:gridCol w:w="1286"/>
      </w:tblGrid>
      <w:tr w:rsidR="005D69BA" w14:paraId="4C37A8CB" w14:textId="6670472F" w:rsidTr="00F677F1">
        <w:tc>
          <w:tcPr>
            <w:tcW w:w="1418" w:type="dxa"/>
            <w:shd w:val="clear" w:color="auto" w:fill="C2D69B" w:themeFill="accent3" w:themeFillTint="99"/>
            <w:vAlign w:val="center"/>
          </w:tcPr>
          <w:p w14:paraId="2E49CE52" w14:textId="25036126" w:rsidR="005D69BA" w:rsidRPr="00323D3A" w:rsidRDefault="005D69BA" w:rsidP="00323D3A">
            <w:pPr>
              <w:pStyle w:val="ListParagraph"/>
              <w:ind w:left="0"/>
              <w:jc w:val="center"/>
              <w:rPr>
                <w:b/>
                <w:bCs/>
                <w:sz w:val="22"/>
              </w:rPr>
            </w:pPr>
            <w:r w:rsidRPr="00323D3A">
              <w:rPr>
                <w:b/>
                <w:bCs/>
                <w:sz w:val="22"/>
              </w:rPr>
              <w:t>Month</w:t>
            </w:r>
          </w:p>
        </w:tc>
        <w:tc>
          <w:tcPr>
            <w:tcW w:w="1306" w:type="dxa"/>
            <w:vAlign w:val="center"/>
          </w:tcPr>
          <w:p w14:paraId="607CE000" w14:textId="6E2C0BA5" w:rsidR="005D69BA" w:rsidRPr="005D69BA" w:rsidRDefault="005D69BA" w:rsidP="00323D3A">
            <w:pPr>
              <w:pStyle w:val="ListParagraph"/>
              <w:ind w:left="0"/>
              <w:jc w:val="center"/>
              <w:rPr>
                <w:sz w:val="22"/>
              </w:rPr>
            </w:pPr>
            <w:r>
              <w:rPr>
                <w:sz w:val="22"/>
              </w:rPr>
              <w:t>3</w:t>
            </w:r>
          </w:p>
        </w:tc>
        <w:tc>
          <w:tcPr>
            <w:tcW w:w="1329" w:type="dxa"/>
            <w:vAlign w:val="center"/>
          </w:tcPr>
          <w:p w14:paraId="31AA5364" w14:textId="122A2BDE" w:rsidR="005D69BA" w:rsidRPr="005D69BA" w:rsidRDefault="005D69BA" w:rsidP="00323D3A">
            <w:pPr>
              <w:pStyle w:val="ListParagraph"/>
              <w:ind w:left="0"/>
              <w:jc w:val="center"/>
              <w:rPr>
                <w:sz w:val="22"/>
              </w:rPr>
            </w:pPr>
            <w:r>
              <w:rPr>
                <w:sz w:val="22"/>
              </w:rPr>
              <w:t>12</w:t>
            </w:r>
          </w:p>
        </w:tc>
        <w:tc>
          <w:tcPr>
            <w:tcW w:w="1329" w:type="dxa"/>
            <w:vAlign w:val="center"/>
          </w:tcPr>
          <w:p w14:paraId="6E4DF2AD" w14:textId="25960AE3" w:rsidR="005D69BA" w:rsidRPr="005D69BA" w:rsidRDefault="005D69BA" w:rsidP="00323D3A">
            <w:pPr>
              <w:pStyle w:val="ListParagraph"/>
              <w:ind w:left="0"/>
              <w:jc w:val="center"/>
              <w:rPr>
                <w:sz w:val="22"/>
              </w:rPr>
            </w:pPr>
            <w:r>
              <w:rPr>
                <w:sz w:val="22"/>
              </w:rPr>
              <w:t>36</w:t>
            </w:r>
          </w:p>
        </w:tc>
        <w:tc>
          <w:tcPr>
            <w:tcW w:w="1330" w:type="dxa"/>
            <w:vAlign w:val="center"/>
          </w:tcPr>
          <w:p w14:paraId="3F63BE66" w14:textId="69004C03" w:rsidR="005D69BA" w:rsidRPr="005D69BA" w:rsidRDefault="005D69BA" w:rsidP="00323D3A">
            <w:pPr>
              <w:pStyle w:val="ListParagraph"/>
              <w:ind w:left="0"/>
              <w:jc w:val="center"/>
              <w:rPr>
                <w:sz w:val="22"/>
              </w:rPr>
            </w:pPr>
            <w:r>
              <w:rPr>
                <w:sz w:val="22"/>
              </w:rPr>
              <w:t>60</w:t>
            </w:r>
          </w:p>
        </w:tc>
        <w:tc>
          <w:tcPr>
            <w:tcW w:w="1352" w:type="dxa"/>
            <w:vAlign w:val="center"/>
          </w:tcPr>
          <w:p w14:paraId="708C2A17" w14:textId="6DF3241A" w:rsidR="005D69BA" w:rsidRPr="005D69BA" w:rsidRDefault="005D69BA" w:rsidP="00323D3A">
            <w:pPr>
              <w:pStyle w:val="ListParagraph"/>
              <w:ind w:left="0"/>
              <w:jc w:val="center"/>
              <w:rPr>
                <w:sz w:val="22"/>
              </w:rPr>
            </w:pPr>
            <w:r>
              <w:rPr>
                <w:sz w:val="22"/>
              </w:rPr>
              <w:t>120</w:t>
            </w:r>
          </w:p>
        </w:tc>
        <w:tc>
          <w:tcPr>
            <w:tcW w:w="1286" w:type="dxa"/>
            <w:vAlign w:val="center"/>
          </w:tcPr>
          <w:p w14:paraId="7C67BE12" w14:textId="6F703BE9" w:rsidR="005D69BA" w:rsidRDefault="005D69BA" w:rsidP="00323D3A">
            <w:pPr>
              <w:pStyle w:val="ListParagraph"/>
              <w:ind w:left="0"/>
              <w:jc w:val="center"/>
              <w:rPr>
                <w:sz w:val="22"/>
              </w:rPr>
            </w:pPr>
            <w:r>
              <w:rPr>
                <w:sz w:val="22"/>
              </w:rPr>
              <w:t>600</w:t>
            </w:r>
          </w:p>
        </w:tc>
      </w:tr>
      <w:tr w:rsidR="005D69BA" w14:paraId="67497163" w14:textId="32F3BD3D" w:rsidTr="00F677F1">
        <w:tc>
          <w:tcPr>
            <w:tcW w:w="1418" w:type="dxa"/>
            <w:shd w:val="clear" w:color="auto" w:fill="C2D69B" w:themeFill="accent3" w:themeFillTint="99"/>
            <w:vAlign w:val="center"/>
          </w:tcPr>
          <w:p w14:paraId="0E535814" w14:textId="72878F08" w:rsidR="005D69BA" w:rsidRPr="00323D3A" w:rsidRDefault="005D69BA" w:rsidP="00323D3A">
            <w:pPr>
              <w:pStyle w:val="ListParagraph"/>
              <w:ind w:left="0"/>
              <w:jc w:val="center"/>
              <w:rPr>
                <w:b/>
                <w:bCs/>
                <w:sz w:val="22"/>
              </w:rPr>
            </w:pPr>
            <w:r w:rsidRPr="00323D3A">
              <w:rPr>
                <w:b/>
                <w:bCs/>
                <w:sz w:val="22"/>
              </w:rPr>
              <w:t>Cumulative Return</w:t>
            </w:r>
          </w:p>
        </w:tc>
        <w:tc>
          <w:tcPr>
            <w:tcW w:w="1306" w:type="dxa"/>
            <w:vAlign w:val="center"/>
          </w:tcPr>
          <w:p w14:paraId="2E66B30F" w14:textId="407F4FAC" w:rsidR="005D69BA" w:rsidRPr="005D69BA" w:rsidRDefault="005D69BA" w:rsidP="00323D3A">
            <w:pPr>
              <w:pStyle w:val="ListParagraph"/>
              <w:ind w:left="0"/>
              <w:jc w:val="center"/>
              <w:rPr>
                <w:sz w:val="22"/>
              </w:rPr>
            </w:pPr>
            <w:r>
              <w:rPr>
                <w:sz w:val="22"/>
              </w:rPr>
              <w:t>17%</w:t>
            </w:r>
          </w:p>
        </w:tc>
        <w:tc>
          <w:tcPr>
            <w:tcW w:w="1329" w:type="dxa"/>
            <w:vAlign w:val="center"/>
          </w:tcPr>
          <w:p w14:paraId="34F01E57" w14:textId="56E08651" w:rsidR="005D69BA" w:rsidRPr="005D69BA" w:rsidRDefault="005D69BA" w:rsidP="00323D3A">
            <w:pPr>
              <w:pStyle w:val="ListParagraph"/>
              <w:ind w:left="0"/>
              <w:jc w:val="center"/>
              <w:rPr>
                <w:sz w:val="22"/>
              </w:rPr>
            </w:pPr>
            <w:r>
              <w:rPr>
                <w:sz w:val="22"/>
              </w:rPr>
              <w:t>52%</w:t>
            </w:r>
          </w:p>
        </w:tc>
        <w:tc>
          <w:tcPr>
            <w:tcW w:w="1329" w:type="dxa"/>
            <w:vAlign w:val="center"/>
          </w:tcPr>
          <w:p w14:paraId="7AC8CBEA" w14:textId="3D0B8F71" w:rsidR="005D69BA" w:rsidRPr="005D69BA" w:rsidRDefault="005D69BA" w:rsidP="00323D3A">
            <w:pPr>
              <w:pStyle w:val="ListParagraph"/>
              <w:ind w:left="0"/>
              <w:jc w:val="center"/>
              <w:rPr>
                <w:sz w:val="22"/>
              </w:rPr>
            </w:pPr>
            <w:r>
              <w:rPr>
                <w:sz w:val="22"/>
              </w:rPr>
              <w:t>72%</w:t>
            </w:r>
          </w:p>
        </w:tc>
        <w:tc>
          <w:tcPr>
            <w:tcW w:w="1330" w:type="dxa"/>
            <w:vAlign w:val="center"/>
          </w:tcPr>
          <w:p w14:paraId="0443C7D2" w14:textId="09C6F297" w:rsidR="005D69BA" w:rsidRPr="005D69BA" w:rsidRDefault="005D69BA" w:rsidP="00323D3A">
            <w:pPr>
              <w:pStyle w:val="ListParagraph"/>
              <w:ind w:left="0"/>
              <w:jc w:val="center"/>
              <w:rPr>
                <w:sz w:val="22"/>
              </w:rPr>
            </w:pPr>
            <w:r>
              <w:rPr>
                <w:sz w:val="22"/>
              </w:rPr>
              <w:t>78%</w:t>
            </w:r>
          </w:p>
        </w:tc>
        <w:tc>
          <w:tcPr>
            <w:tcW w:w="1352" w:type="dxa"/>
            <w:vAlign w:val="center"/>
          </w:tcPr>
          <w:p w14:paraId="375587D9" w14:textId="35327341" w:rsidR="005D69BA" w:rsidRPr="005D69BA" w:rsidRDefault="005D69BA" w:rsidP="00323D3A">
            <w:pPr>
              <w:pStyle w:val="ListParagraph"/>
              <w:ind w:left="0"/>
              <w:jc w:val="center"/>
              <w:rPr>
                <w:sz w:val="22"/>
              </w:rPr>
            </w:pPr>
            <w:r>
              <w:rPr>
                <w:sz w:val="22"/>
              </w:rPr>
              <w:t>84%</w:t>
            </w:r>
          </w:p>
        </w:tc>
        <w:tc>
          <w:tcPr>
            <w:tcW w:w="1286" w:type="dxa"/>
            <w:vAlign w:val="center"/>
          </w:tcPr>
          <w:p w14:paraId="4BAF9B03" w14:textId="532E85DF" w:rsidR="005D69BA" w:rsidRPr="005D69BA" w:rsidRDefault="005D69BA" w:rsidP="00323D3A">
            <w:pPr>
              <w:pStyle w:val="ListParagraph"/>
              <w:ind w:left="0"/>
              <w:jc w:val="center"/>
              <w:rPr>
                <w:sz w:val="22"/>
              </w:rPr>
            </w:pPr>
            <w:r>
              <w:rPr>
                <w:sz w:val="22"/>
              </w:rPr>
              <w:t>93%</w:t>
            </w:r>
          </w:p>
        </w:tc>
      </w:tr>
    </w:tbl>
    <w:p w14:paraId="5BC1EE32" w14:textId="77777777" w:rsidR="003147A4" w:rsidRDefault="003147A4" w:rsidP="00517A78"/>
    <w:p w14:paraId="55EB063D" w14:textId="57016CA3" w:rsidR="009119E2" w:rsidRDefault="00FA2225" w:rsidP="00517A78">
      <w:r>
        <w:t>For routing purposes, t</w:t>
      </w:r>
      <w:r w:rsidR="009119E2">
        <w:t xml:space="preserve">he score analysis for Phelp recharge split the </w:t>
      </w:r>
      <w:r w:rsidR="00B85344">
        <w:t xml:space="preserve">lagged </w:t>
      </w:r>
      <w:r w:rsidR="009119E2">
        <w:t>accretions 60% above Overton and 40% below Overton, and the same approach is applied to operations accounting.</w:t>
      </w:r>
      <w:r w:rsidR="009119E2">
        <w:rPr>
          <w:rStyle w:val="FootnoteReference"/>
          <w:szCs w:val="24"/>
        </w:rPr>
        <w:footnoteReference w:id="9"/>
      </w:r>
      <w:r w:rsidR="00682EE2">
        <w:t xml:space="preserve">  Calculated monthly accretion volumes are converted back to a daily average flow rate.</w:t>
      </w:r>
      <w:r w:rsidR="009119E2">
        <w:t xml:space="preserve"> </w:t>
      </w:r>
      <w:r w:rsidR="00FC7582">
        <w:t xml:space="preserve">  </w:t>
      </w:r>
    </w:p>
    <w:p w14:paraId="2FC1A740" w14:textId="604AEC6B" w:rsidR="00BE7043" w:rsidRDefault="00BE7043" w:rsidP="00517A78">
      <w:pPr>
        <w:rPr>
          <w:b/>
          <w:bCs/>
        </w:rPr>
      </w:pPr>
      <w:r w:rsidRPr="00BE7043">
        <w:rPr>
          <w:b/>
          <w:bCs/>
        </w:rPr>
        <w:lastRenderedPageBreak/>
        <w:t>Cook Well Pumping and Depletions</w:t>
      </w:r>
    </w:p>
    <w:p w14:paraId="355CA575" w14:textId="77777777" w:rsidR="00517A78" w:rsidRPr="00BE7043" w:rsidRDefault="00517A78" w:rsidP="00517A78">
      <w:pPr>
        <w:rPr>
          <w:b/>
          <w:bCs/>
        </w:rPr>
      </w:pPr>
    </w:p>
    <w:p w14:paraId="710CB4DD" w14:textId="64B80601" w:rsidR="00822369" w:rsidRDefault="00FC10D1" w:rsidP="00517A78">
      <w:r>
        <w:t>The</w:t>
      </w:r>
      <w:r w:rsidR="00980141">
        <w:t xml:space="preserve"> EDO records the </w:t>
      </w:r>
      <w:r w:rsidR="00830660">
        <w:t xml:space="preserve">Cook </w:t>
      </w:r>
      <w:r w:rsidR="005B7476">
        <w:t>w</w:t>
      </w:r>
      <w:r w:rsidR="00830660">
        <w:t>ell meter reading at the start and end of pumping</w:t>
      </w:r>
      <w:r w:rsidR="00B417C3">
        <w:t>.</w:t>
      </w:r>
      <w:r w:rsidR="00651964">
        <w:t xml:space="preserve">  Dates and volumes of Cook Well pumping are shown in </w:t>
      </w:r>
      <w:r w:rsidR="00651964" w:rsidRPr="00327949">
        <w:rPr>
          <w:b/>
          <w:bCs/>
        </w:rPr>
        <w:t xml:space="preserve">Table </w:t>
      </w:r>
      <w:r w:rsidR="00322D86">
        <w:rPr>
          <w:b/>
          <w:bCs/>
        </w:rPr>
        <w:t>5</w:t>
      </w:r>
      <w:r w:rsidR="00651964">
        <w:t xml:space="preserve">.  There was nearly a full year gap between late-February pumping periods in 2019 and 2020 because there were </w:t>
      </w:r>
      <w:r w:rsidR="00327949">
        <w:t>few</w:t>
      </w:r>
      <w:r w:rsidR="00651964">
        <w:t xml:space="preserve"> sustained periods of shortage.</w:t>
      </w:r>
      <w:r w:rsidR="00822369">
        <w:t xml:space="preserve"> </w:t>
      </w:r>
    </w:p>
    <w:p w14:paraId="02CB383F" w14:textId="77777777" w:rsidR="00517A78" w:rsidRDefault="00517A78" w:rsidP="00517A78"/>
    <w:p w14:paraId="31707814" w14:textId="18562A49" w:rsidR="00327949" w:rsidRPr="00327949" w:rsidRDefault="00327949" w:rsidP="00517A78">
      <w:pPr>
        <w:rPr>
          <w:b/>
          <w:bCs/>
          <w:sz w:val="22"/>
        </w:rPr>
      </w:pPr>
      <w:r w:rsidRPr="00327949">
        <w:rPr>
          <w:b/>
          <w:bCs/>
          <w:sz w:val="22"/>
        </w:rPr>
        <w:t xml:space="preserve">Table </w:t>
      </w:r>
      <w:r w:rsidR="00322D86">
        <w:rPr>
          <w:b/>
          <w:bCs/>
          <w:sz w:val="22"/>
        </w:rPr>
        <w:t>5</w:t>
      </w:r>
      <w:r w:rsidRPr="00327949">
        <w:rPr>
          <w:b/>
          <w:bCs/>
          <w:sz w:val="22"/>
        </w:rPr>
        <w:t>.  Cook Well Pumping, 2016-2020</w:t>
      </w:r>
    </w:p>
    <w:tbl>
      <w:tblPr>
        <w:tblStyle w:val="TableGrid"/>
        <w:tblW w:w="0" w:type="auto"/>
        <w:tblLook w:val="04A0" w:firstRow="1" w:lastRow="0" w:firstColumn="1" w:lastColumn="0" w:noHBand="0" w:noVBand="1"/>
      </w:tblPr>
      <w:tblGrid>
        <w:gridCol w:w="1870"/>
        <w:gridCol w:w="1870"/>
        <w:gridCol w:w="1870"/>
        <w:gridCol w:w="1870"/>
        <w:gridCol w:w="1870"/>
      </w:tblGrid>
      <w:tr w:rsidR="00651964" w14:paraId="6CB1C697" w14:textId="77777777" w:rsidTr="008A2722">
        <w:tc>
          <w:tcPr>
            <w:tcW w:w="1870" w:type="dxa"/>
            <w:shd w:val="clear" w:color="auto" w:fill="C2D69B" w:themeFill="accent3" w:themeFillTint="99"/>
            <w:vAlign w:val="bottom"/>
          </w:tcPr>
          <w:p w14:paraId="3061F5BD" w14:textId="66E927F4" w:rsidR="00651964" w:rsidRPr="00651964" w:rsidRDefault="00651964" w:rsidP="008A2722">
            <w:pPr>
              <w:pStyle w:val="ListParagraph"/>
              <w:ind w:left="0"/>
              <w:jc w:val="center"/>
              <w:rPr>
                <w:b/>
                <w:bCs/>
                <w:sz w:val="22"/>
              </w:rPr>
            </w:pPr>
            <w:r w:rsidRPr="00651964">
              <w:rPr>
                <w:b/>
                <w:bCs/>
                <w:sz w:val="22"/>
              </w:rPr>
              <w:t>Pumping Period</w:t>
            </w:r>
          </w:p>
        </w:tc>
        <w:tc>
          <w:tcPr>
            <w:tcW w:w="1870" w:type="dxa"/>
            <w:shd w:val="clear" w:color="auto" w:fill="C2D69B" w:themeFill="accent3" w:themeFillTint="99"/>
            <w:vAlign w:val="bottom"/>
          </w:tcPr>
          <w:p w14:paraId="391D1C1E" w14:textId="78917FB7" w:rsidR="00651964" w:rsidRPr="00651964" w:rsidRDefault="00651964" w:rsidP="008A2722">
            <w:pPr>
              <w:pStyle w:val="ListParagraph"/>
              <w:ind w:left="0"/>
              <w:jc w:val="center"/>
              <w:rPr>
                <w:b/>
                <w:bCs/>
                <w:sz w:val="22"/>
              </w:rPr>
            </w:pPr>
            <w:r w:rsidRPr="00651964">
              <w:rPr>
                <w:b/>
                <w:bCs/>
                <w:sz w:val="22"/>
              </w:rPr>
              <w:t>Date On</w:t>
            </w:r>
          </w:p>
        </w:tc>
        <w:tc>
          <w:tcPr>
            <w:tcW w:w="1870" w:type="dxa"/>
            <w:shd w:val="clear" w:color="auto" w:fill="C2D69B" w:themeFill="accent3" w:themeFillTint="99"/>
            <w:vAlign w:val="bottom"/>
          </w:tcPr>
          <w:p w14:paraId="2CCC772D" w14:textId="611277E1" w:rsidR="00651964" w:rsidRPr="00651964" w:rsidRDefault="00651964" w:rsidP="008A2722">
            <w:pPr>
              <w:pStyle w:val="ListParagraph"/>
              <w:ind w:left="0"/>
              <w:jc w:val="center"/>
              <w:rPr>
                <w:b/>
                <w:bCs/>
                <w:sz w:val="22"/>
              </w:rPr>
            </w:pPr>
            <w:r w:rsidRPr="00651964">
              <w:rPr>
                <w:b/>
                <w:bCs/>
                <w:sz w:val="22"/>
              </w:rPr>
              <w:t>Date Off</w:t>
            </w:r>
          </w:p>
        </w:tc>
        <w:tc>
          <w:tcPr>
            <w:tcW w:w="1870" w:type="dxa"/>
            <w:shd w:val="clear" w:color="auto" w:fill="C2D69B" w:themeFill="accent3" w:themeFillTint="99"/>
            <w:vAlign w:val="bottom"/>
          </w:tcPr>
          <w:p w14:paraId="3B04CFBE" w14:textId="0DC215F3" w:rsidR="00651964" w:rsidRPr="00651964" w:rsidRDefault="00651964" w:rsidP="008A2722">
            <w:pPr>
              <w:pStyle w:val="ListParagraph"/>
              <w:ind w:left="0"/>
              <w:jc w:val="center"/>
              <w:rPr>
                <w:b/>
                <w:bCs/>
                <w:sz w:val="22"/>
              </w:rPr>
            </w:pPr>
            <w:r w:rsidRPr="00651964">
              <w:rPr>
                <w:b/>
                <w:bCs/>
                <w:sz w:val="22"/>
              </w:rPr>
              <w:t># of Days with Pumping</w:t>
            </w:r>
          </w:p>
        </w:tc>
        <w:tc>
          <w:tcPr>
            <w:tcW w:w="1870" w:type="dxa"/>
            <w:shd w:val="clear" w:color="auto" w:fill="C2D69B" w:themeFill="accent3" w:themeFillTint="99"/>
            <w:vAlign w:val="bottom"/>
          </w:tcPr>
          <w:p w14:paraId="42A2700F" w14:textId="0FD4B668" w:rsidR="00651964" w:rsidRPr="00651964" w:rsidRDefault="00651964" w:rsidP="008A2722">
            <w:pPr>
              <w:pStyle w:val="ListParagraph"/>
              <w:ind w:left="0"/>
              <w:jc w:val="center"/>
              <w:rPr>
                <w:b/>
                <w:bCs/>
                <w:sz w:val="22"/>
              </w:rPr>
            </w:pPr>
            <w:r w:rsidRPr="00651964">
              <w:rPr>
                <w:b/>
                <w:bCs/>
                <w:sz w:val="22"/>
              </w:rPr>
              <w:t>Volume Pumped (AF)</w:t>
            </w:r>
          </w:p>
        </w:tc>
      </w:tr>
      <w:tr w:rsidR="00651964" w14:paraId="09D0C9DB" w14:textId="77777777" w:rsidTr="00651964">
        <w:trPr>
          <w:trHeight w:val="288"/>
        </w:trPr>
        <w:tc>
          <w:tcPr>
            <w:tcW w:w="1870" w:type="dxa"/>
            <w:vAlign w:val="center"/>
          </w:tcPr>
          <w:p w14:paraId="7B1C7235" w14:textId="728F4855" w:rsidR="00651964" w:rsidRPr="00651964" w:rsidRDefault="00651964" w:rsidP="00651964">
            <w:pPr>
              <w:pStyle w:val="ListParagraph"/>
              <w:ind w:left="0"/>
              <w:jc w:val="center"/>
              <w:rPr>
                <w:szCs w:val="24"/>
              </w:rPr>
            </w:pPr>
            <w:r w:rsidRPr="00651964">
              <w:rPr>
                <w:color w:val="000000"/>
                <w:sz w:val="22"/>
              </w:rPr>
              <w:t>1</w:t>
            </w:r>
          </w:p>
        </w:tc>
        <w:tc>
          <w:tcPr>
            <w:tcW w:w="1870" w:type="dxa"/>
            <w:vAlign w:val="center"/>
          </w:tcPr>
          <w:p w14:paraId="0D565611" w14:textId="3F1008FD" w:rsidR="00651964" w:rsidRPr="00651964" w:rsidRDefault="00651964" w:rsidP="00651964">
            <w:pPr>
              <w:pStyle w:val="ListParagraph"/>
              <w:ind w:left="0"/>
              <w:jc w:val="center"/>
              <w:rPr>
                <w:szCs w:val="24"/>
              </w:rPr>
            </w:pPr>
            <w:r w:rsidRPr="00651964">
              <w:rPr>
                <w:color w:val="000000"/>
                <w:sz w:val="22"/>
              </w:rPr>
              <w:t>10/4/2016</w:t>
            </w:r>
          </w:p>
        </w:tc>
        <w:tc>
          <w:tcPr>
            <w:tcW w:w="1870" w:type="dxa"/>
            <w:vAlign w:val="center"/>
          </w:tcPr>
          <w:p w14:paraId="44307290" w14:textId="65359A84" w:rsidR="00651964" w:rsidRPr="00651964" w:rsidRDefault="00651964" w:rsidP="00651964">
            <w:pPr>
              <w:pStyle w:val="ListParagraph"/>
              <w:ind w:left="0"/>
              <w:jc w:val="center"/>
              <w:rPr>
                <w:szCs w:val="24"/>
              </w:rPr>
            </w:pPr>
            <w:r w:rsidRPr="00651964">
              <w:rPr>
                <w:color w:val="000000"/>
                <w:sz w:val="22"/>
              </w:rPr>
              <w:t>11/15/2016</w:t>
            </w:r>
          </w:p>
        </w:tc>
        <w:tc>
          <w:tcPr>
            <w:tcW w:w="1870" w:type="dxa"/>
            <w:vAlign w:val="center"/>
          </w:tcPr>
          <w:p w14:paraId="11A7D47C" w14:textId="5475942A" w:rsidR="00651964" w:rsidRPr="00651964" w:rsidRDefault="00651964" w:rsidP="00651964">
            <w:pPr>
              <w:pStyle w:val="ListParagraph"/>
              <w:ind w:left="0"/>
              <w:jc w:val="center"/>
              <w:rPr>
                <w:szCs w:val="24"/>
              </w:rPr>
            </w:pPr>
            <w:r w:rsidRPr="00651964">
              <w:rPr>
                <w:color w:val="000000"/>
                <w:sz w:val="22"/>
              </w:rPr>
              <w:t>43</w:t>
            </w:r>
          </w:p>
        </w:tc>
        <w:tc>
          <w:tcPr>
            <w:tcW w:w="1870" w:type="dxa"/>
            <w:vAlign w:val="center"/>
          </w:tcPr>
          <w:p w14:paraId="6E8F482D" w14:textId="3DC203C6" w:rsidR="00651964" w:rsidRPr="00651964" w:rsidRDefault="00651964" w:rsidP="00651964">
            <w:pPr>
              <w:pStyle w:val="ListParagraph"/>
              <w:ind w:left="0"/>
              <w:jc w:val="center"/>
              <w:rPr>
                <w:szCs w:val="24"/>
              </w:rPr>
            </w:pPr>
            <w:r w:rsidRPr="00651964">
              <w:rPr>
                <w:color w:val="000000"/>
                <w:sz w:val="22"/>
              </w:rPr>
              <w:t>116.67</w:t>
            </w:r>
          </w:p>
        </w:tc>
      </w:tr>
      <w:tr w:rsidR="00651964" w14:paraId="5BC1A0DB" w14:textId="77777777" w:rsidTr="00651964">
        <w:trPr>
          <w:trHeight w:val="288"/>
        </w:trPr>
        <w:tc>
          <w:tcPr>
            <w:tcW w:w="1870" w:type="dxa"/>
            <w:vAlign w:val="center"/>
          </w:tcPr>
          <w:p w14:paraId="29DC926E" w14:textId="7DD6E9B9" w:rsidR="00651964" w:rsidRPr="00651964" w:rsidRDefault="00651964" w:rsidP="00651964">
            <w:pPr>
              <w:pStyle w:val="ListParagraph"/>
              <w:ind w:left="0"/>
              <w:jc w:val="center"/>
              <w:rPr>
                <w:szCs w:val="24"/>
              </w:rPr>
            </w:pPr>
            <w:r w:rsidRPr="00651964">
              <w:rPr>
                <w:color w:val="000000"/>
                <w:sz w:val="22"/>
              </w:rPr>
              <w:t>2</w:t>
            </w:r>
          </w:p>
        </w:tc>
        <w:tc>
          <w:tcPr>
            <w:tcW w:w="1870" w:type="dxa"/>
            <w:vAlign w:val="center"/>
          </w:tcPr>
          <w:p w14:paraId="0DEA3E76" w14:textId="571787B6" w:rsidR="00651964" w:rsidRPr="00651964" w:rsidRDefault="00651964" w:rsidP="00651964">
            <w:pPr>
              <w:pStyle w:val="ListParagraph"/>
              <w:ind w:left="0"/>
              <w:jc w:val="center"/>
              <w:rPr>
                <w:szCs w:val="24"/>
              </w:rPr>
            </w:pPr>
            <w:r w:rsidRPr="00651964">
              <w:rPr>
                <w:color w:val="000000"/>
                <w:sz w:val="22"/>
              </w:rPr>
              <w:t>10/4/2017</w:t>
            </w:r>
          </w:p>
        </w:tc>
        <w:tc>
          <w:tcPr>
            <w:tcW w:w="1870" w:type="dxa"/>
            <w:vAlign w:val="center"/>
          </w:tcPr>
          <w:p w14:paraId="6E6AE6B1" w14:textId="3CBE4794" w:rsidR="00651964" w:rsidRPr="00651964" w:rsidRDefault="00651964" w:rsidP="00651964">
            <w:pPr>
              <w:pStyle w:val="ListParagraph"/>
              <w:ind w:left="0"/>
              <w:jc w:val="center"/>
              <w:rPr>
                <w:szCs w:val="24"/>
              </w:rPr>
            </w:pPr>
            <w:r w:rsidRPr="00651964">
              <w:rPr>
                <w:color w:val="000000"/>
                <w:sz w:val="22"/>
              </w:rPr>
              <w:t>11/29/2017</w:t>
            </w:r>
          </w:p>
        </w:tc>
        <w:tc>
          <w:tcPr>
            <w:tcW w:w="1870" w:type="dxa"/>
            <w:vAlign w:val="center"/>
          </w:tcPr>
          <w:p w14:paraId="16210C7D" w14:textId="6ACCD945" w:rsidR="00651964" w:rsidRPr="00651964" w:rsidRDefault="00651964" w:rsidP="00651964">
            <w:pPr>
              <w:pStyle w:val="ListParagraph"/>
              <w:ind w:left="0"/>
              <w:jc w:val="center"/>
              <w:rPr>
                <w:szCs w:val="24"/>
              </w:rPr>
            </w:pPr>
            <w:r w:rsidRPr="00651964">
              <w:rPr>
                <w:color w:val="000000"/>
                <w:sz w:val="22"/>
              </w:rPr>
              <w:t>57</w:t>
            </w:r>
          </w:p>
        </w:tc>
        <w:tc>
          <w:tcPr>
            <w:tcW w:w="1870" w:type="dxa"/>
            <w:vAlign w:val="center"/>
          </w:tcPr>
          <w:p w14:paraId="0CE8D860" w14:textId="4FB82A78" w:rsidR="00651964" w:rsidRPr="00651964" w:rsidRDefault="00651964" w:rsidP="00651964">
            <w:pPr>
              <w:pStyle w:val="ListParagraph"/>
              <w:ind w:left="0"/>
              <w:jc w:val="center"/>
              <w:rPr>
                <w:szCs w:val="24"/>
              </w:rPr>
            </w:pPr>
            <w:r w:rsidRPr="00651964">
              <w:rPr>
                <w:color w:val="000000"/>
                <w:sz w:val="22"/>
              </w:rPr>
              <w:t>151.77</w:t>
            </w:r>
          </w:p>
        </w:tc>
      </w:tr>
      <w:tr w:rsidR="00651964" w14:paraId="532A752F" w14:textId="77777777" w:rsidTr="00651964">
        <w:trPr>
          <w:trHeight w:val="288"/>
        </w:trPr>
        <w:tc>
          <w:tcPr>
            <w:tcW w:w="1870" w:type="dxa"/>
            <w:vAlign w:val="center"/>
          </w:tcPr>
          <w:p w14:paraId="2E44E46D" w14:textId="38D1605C" w:rsidR="00651964" w:rsidRPr="00651964" w:rsidRDefault="00651964" w:rsidP="00651964">
            <w:pPr>
              <w:pStyle w:val="ListParagraph"/>
              <w:ind w:left="0"/>
              <w:jc w:val="center"/>
              <w:rPr>
                <w:szCs w:val="24"/>
              </w:rPr>
            </w:pPr>
            <w:r w:rsidRPr="00651964">
              <w:rPr>
                <w:color w:val="000000"/>
                <w:sz w:val="22"/>
              </w:rPr>
              <w:t>3</w:t>
            </w:r>
          </w:p>
        </w:tc>
        <w:tc>
          <w:tcPr>
            <w:tcW w:w="1870" w:type="dxa"/>
            <w:vAlign w:val="center"/>
          </w:tcPr>
          <w:p w14:paraId="23FBEE89" w14:textId="674227EA" w:rsidR="00651964" w:rsidRPr="00651964" w:rsidRDefault="00651964" w:rsidP="00651964">
            <w:pPr>
              <w:pStyle w:val="ListParagraph"/>
              <w:ind w:left="0"/>
              <w:jc w:val="center"/>
              <w:rPr>
                <w:szCs w:val="24"/>
              </w:rPr>
            </w:pPr>
            <w:r w:rsidRPr="00651964">
              <w:rPr>
                <w:color w:val="000000"/>
                <w:sz w:val="22"/>
              </w:rPr>
              <w:t>8/15/2018</w:t>
            </w:r>
          </w:p>
        </w:tc>
        <w:tc>
          <w:tcPr>
            <w:tcW w:w="1870" w:type="dxa"/>
            <w:vAlign w:val="center"/>
          </w:tcPr>
          <w:p w14:paraId="12FAB572" w14:textId="7002328B" w:rsidR="00651964" w:rsidRPr="00651964" w:rsidRDefault="00651964" w:rsidP="00651964">
            <w:pPr>
              <w:pStyle w:val="ListParagraph"/>
              <w:ind w:left="0"/>
              <w:jc w:val="center"/>
              <w:rPr>
                <w:szCs w:val="24"/>
              </w:rPr>
            </w:pPr>
            <w:r w:rsidRPr="00651964">
              <w:rPr>
                <w:color w:val="000000"/>
                <w:sz w:val="22"/>
              </w:rPr>
              <w:t>8/20/2018</w:t>
            </w:r>
          </w:p>
        </w:tc>
        <w:tc>
          <w:tcPr>
            <w:tcW w:w="1870" w:type="dxa"/>
            <w:vAlign w:val="center"/>
          </w:tcPr>
          <w:p w14:paraId="370F8851" w14:textId="1F59E5F9" w:rsidR="00651964" w:rsidRPr="00651964" w:rsidRDefault="00651964" w:rsidP="00651964">
            <w:pPr>
              <w:pStyle w:val="ListParagraph"/>
              <w:ind w:left="0"/>
              <w:jc w:val="center"/>
              <w:rPr>
                <w:szCs w:val="24"/>
              </w:rPr>
            </w:pPr>
            <w:r w:rsidRPr="00651964">
              <w:rPr>
                <w:color w:val="000000"/>
                <w:sz w:val="22"/>
              </w:rPr>
              <w:t>6</w:t>
            </w:r>
          </w:p>
        </w:tc>
        <w:tc>
          <w:tcPr>
            <w:tcW w:w="1870" w:type="dxa"/>
            <w:vAlign w:val="center"/>
          </w:tcPr>
          <w:p w14:paraId="69ED6437" w14:textId="56D85573" w:rsidR="00651964" w:rsidRPr="00651964" w:rsidRDefault="00651964" w:rsidP="00651964">
            <w:pPr>
              <w:pStyle w:val="ListParagraph"/>
              <w:ind w:left="0"/>
              <w:jc w:val="center"/>
              <w:rPr>
                <w:szCs w:val="24"/>
              </w:rPr>
            </w:pPr>
            <w:r w:rsidRPr="00651964">
              <w:rPr>
                <w:color w:val="000000"/>
                <w:sz w:val="22"/>
              </w:rPr>
              <w:t>16.48</w:t>
            </w:r>
          </w:p>
        </w:tc>
      </w:tr>
      <w:tr w:rsidR="00651964" w14:paraId="37CE0310" w14:textId="77777777" w:rsidTr="00651964">
        <w:trPr>
          <w:trHeight w:val="288"/>
        </w:trPr>
        <w:tc>
          <w:tcPr>
            <w:tcW w:w="1870" w:type="dxa"/>
            <w:vAlign w:val="center"/>
          </w:tcPr>
          <w:p w14:paraId="1EDE78CC" w14:textId="536A7087" w:rsidR="00651964" w:rsidRPr="00651964" w:rsidRDefault="00651964" w:rsidP="00651964">
            <w:pPr>
              <w:pStyle w:val="ListParagraph"/>
              <w:ind w:left="0"/>
              <w:jc w:val="center"/>
              <w:rPr>
                <w:szCs w:val="24"/>
              </w:rPr>
            </w:pPr>
            <w:r w:rsidRPr="00651964">
              <w:rPr>
                <w:color w:val="000000"/>
                <w:sz w:val="22"/>
              </w:rPr>
              <w:t>4</w:t>
            </w:r>
          </w:p>
        </w:tc>
        <w:tc>
          <w:tcPr>
            <w:tcW w:w="1870" w:type="dxa"/>
            <w:vAlign w:val="center"/>
          </w:tcPr>
          <w:p w14:paraId="57CCF317" w14:textId="44530E5E" w:rsidR="00651964" w:rsidRPr="00651964" w:rsidRDefault="00651964" w:rsidP="00651964">
            <w:pPr>
              <w:pStyle w:val="ListParagraph"/>
              <w:ind w:left="0"/>
              <w:jc w:val="center"/>
              <w:rPr>
                <w:szCs w:val="24"/>
              </w:rPr>
            </w:pPr>
            <w:r w:rsidRPr="00651964">
              <w:rPr>
                <w:color w:val="000000"/>
                <w:sz w:val="22"/>
              </w:rPr>
              <w:t>8/29/2018</w:t>
            </w:r>
          </w:p>
        </w:tc>
        <w:tc>
          <w:tcPr>
            <w:tcW w:w="1870" w:type="dxa"/>
            <w:vAlign w:val="center"/>
          </w:tcPr>
          <w:p w14:paraId="6C96900C" w14:textId="415B1413" w:rsidR="00651964" w:rsidRPr="00651964" w:rsidRDefault="00651964" w:rsidP="00651964">
            <w:pPr>
              <w:pStyle w:val="ListParagraph"/>
              <w:ind w:left="0"/>
              <w:jc w:val="center"/>
              <w:rPr>
                <w:szCs w:val="24"/>
              </w:rPr>
            </w:pPr>
            <w:r w:rsidRPr="00651964">
              <w:rPr>
                <w:color w:val="000000"/>
                <w:sz w:val="22"/>
              </w:rPr>
              <w:t>9/5/2018</w:t>
            </w:r>
          </w:p>
        </w:tc>
        <w:tc>
          <w:tcPr>
            <w:tcW w:w="1870" w:type="dxa"/>
            <w:vAlign w:val="center"/>
          </w:tcPr>
          <w:p w14:paraId="6720FC44" w14:textId="5E1DF444" w:rsidR="00651964" w:rsidRPr="00651964" w:rsidRDefault="00651964" w:rsidP="00651964">
            <w:pPr>
              <w:pStyle w:val="ListParagraph"/>
              <w:ind w:left="0"/>
              <w:jc w:val="center"/>
              <w:rPr>
                <w:szCs w:val="24"/>
              </w:rPr>
            </w:pPr>
            <w:r w:rsidRPr="00651964">
              <w:rPr>
                <w:color w:val="000000"/>
                <w:sz w:val="22"/>
              </w:rPr>
              <w:t>8</w:t>
            </w:r>
          </w:p>
        </w:tc>
        <w:tc>
          <w:tcPr>
            <w:tcW w:w="1870" w:type="dxa"/>
            <w:vAlign w:val="center"/>
          </w:tcPr>
          <w:p w14:paraId="777AA9B9" w14:textId="3E30CCF7" w:rsidR="00651964" w:rsidRPr="00651964" w:rsidRDefault="00651964" w:rsidP="00651964">
            <w:pPr>
              <w:pStyle w:val="ListParagraph"/>
              <w:ind w:left="0"/>
              <w:jc w:val="center"/>
              <w:rPr>
                <w:szCs w:val="24"/>
              </w:rPr>
            </w:pPr>
            <w:r w:rsidRPr="00651964">
              <w:rPr>
                <w:color w:val="000000"/>
                <w:sz w:val="22"/>
              </w:rPr>
              <w:t>17.96</w:t>
            </w:r>
          </w:p>
        </w:tc>
      </w:tr>
      <w:tr w:rsidR="00651964" w14:paraId="2B057E58" w14:textId="77777777" w:rsidTr="00651964">
        <w:trPr>
          <w:trHeight w:val="288"/>
        </w:trPr>
        <w:tc>
          <w:tcPr>
            <w:tcW w:w="1870" w:type="dxa"/>
            <w:vAlign w:val="center"/>
          </w:tcPr>
          <w:p w14:paraId="7558432B" w14:textId="356BD358" w:rsidR="00651964" w:rsidRPr="00651964" w:rsidRDefault="00651964" w:rsidP="00651964">
            <w:pPr>
              <w:pStyle w:val="ListParagraph"/>
              <w:ind w:left="0"/>
              <w:jc w:val="center"/>
              <w:rPr>
                <w:szCs w:val="24"/>
              </w:rPr>
            </w:pPr>
            <w:r w:rsidRPr="00651964">
              <w:rPr>
                <w:color w:val="000000"/>
                <w:sz w:val="22"/>
              </w:rPr>
              <w:t>5</w:t>
            </w:r>
          </w:p>
        </w:tc>
        <w:tc>
          <w:tcPr>
            <w:tcW w:w="1870" w:type="dxa"/>
            <w:vAlign w:val="center"/>
          </w:tcPr>
          <w:p w14:paraId="5615B7F7" w14:textId="7133E7A9" w:rsidR="00651964" w:rsidRPr="00651964" w:rsidRDefault="00651964" w:rsidP="00651964">
            <w:pPr>
              <w:pStyle w:val="ListParagraph"/>
              <w:ind w:left="0"/>
              <w:jc w:val="center"/>
              <w:rPr>
                <w:szCs w:val="24"/>
              </w:rPr>
            </w:pPr>
            <w:r w:rsidRPr="00651964">
              <w:rPr>
                <w:color w:val="000000"/>
                <w:sz w:val="22"/>
              </w:rPr>
              <w:t>10/2/2018</w:t>
            </w:r>
          </w:p>
        </w:tc>
        <w:tc>
          <w:tcPr>
            <w:tcW w:w="1870" w:type="dxa"/>
            <w:vAlign w:val="center"/>
          </w:tcPr>
          <w:p w14:paraId="1A3F5593" w14:textId="6F4B269E" w:rsidR="00651964" w:rsidRPr="00651964" w:rsidRDefault="00651964" w:rsidP="00651964">
            <w:pPr>
              <w:pStyle w:val="ListParagraph"/>
              <w:ind w:left="0"/>
              <w:jc w:val="center"/>
              <w:rPr>
                <w:szCs w:val="24"/>
              </w:rPr>
            </w:pPr>
            <w:r w:rsidRPr="00651964">
              <w:rPr>
                <w:color w:val="000000"/>
                <w:sz w:val="22"/>
              </w:rPr>
              <w:t>10/10/2018</w:t>
            </w:r>
          </w:p>
        </w:tc>
        <w:tc>
          <w:tcPr>
            <w:tcW w:w="1870" w:type="dxa"/>
            <w:vAlign w:val="center"/>
          </w:tcPr>
          <w:p w14:paraId="0AC2AFE3" w14:textId="31156EB7" w:rsidR="00651964" w:rsidRPr="00651964" w:rsidRDefault="00651964" w:rsidP="00651964">
            <w:pPr>
              <w:pStyle w:val="ListParagraph"/>
              <w:ind w:left="0"/>
              <w:jc w:val="center"/>
              <w:rPr>
                <w:szCs w:val="24"/>
              </w:rPr>
            </w:pPr>
            <w:r w:rsidRPr="00651964">
              <w:rPr>
                <w:color w:val="000000"/>
                <w:sz w:val="22"/>
              </w:rPr>
              <w:t>9</w:t>
            </w:r>
          </w:p>
        </w:tc>
        <w:tc>
          <w:tcPr>
            <w:tcW w:w="1870" w:type="dxa"/>
            <w:vAlign w:val="center"/>
          </w:tcPr>
          <w:p w14:paraId="69E255E1" w14:textId="1E452AF0" w:rsidR="00651964" w:rsidRPr="00651964" w:rsidRDefault="00651964" w:rsidP="00651964">
            <w:pPr>
              <w:pStyle w:val="ListParagraph"/>
              <w:ind w:left="0"/>
              <w:jc w:val="center"/>
              <w:rPr>
                <w:szCs w:val="24"/>
              </w:rPr>
            </w:pPr>
            <w:r w:rsidRPr="00651964">
              <w:rPr>
                <w:color w:val="000000"/>
                <w:sz w:val="22"/>
              </w:rPr>
              <w:t>24.54</w:t>
            </w:r>
          </w:p>
        </w:tc>
      </w:tr>
      <w:tr w:rsidR="00651964" w14:paraId="3F115106" w14:textId="77777777" w:rsidTr="00651964">
        <w:trPr>
          <w:trHeight w:val="288"/>
        </w:trPr>
        <w:tc>
          <w:tcPr>
            <w:tcW w:w="1870" w:type="dxa"/>
            <w:vAlign w:val="center"/>
          </w:tcPr>
          <w:p w14:paraId="0CCCB523" w14:textId="0497AAD1" w:rsidR="00651964" w:rsidRPr="00651964" w:rsidRDefault="00651964" w:rsidP="00651964">
            <w:pPr>
              <w:pStyle w:val="ListParagraph"/>
              <w:ind w:left="0"/>
              <w:jc w:val="center"/>
              <w:rPr>
                <w:szCs w:val="24"/>
              </w:rPr>
            </w:pPr>
            <w:r w:rsidRPr="00651964">
              <w:rPr>
                <w:color w:val="000000"/>
                <w:sz w:val="22"/>
              </w:rPr>
              <w:t>6</w:t>
            </w:r>
          </w:p>
        </w:tc>
        <w:tc>
          <w:tcPr>
            <w:tcW w:w="1870" w:type="dxa"/>
            <w:vAlign w:val="center"/>
          </w:tcPr>
          <w:p w14:paraId="244DB7EA" w14:textId="5E8D0577" w:rsidR="00651964" w:rsidRPr="00651964" w:rsidRDefault="00651964" w:rsidP="00651964">
            <w:pPr>
              <w:pStyle w:val="ListParagraph"/>
              <w:ind w:left="0"/>
              <w:jc w:val="center"/>
              <w:rPr>
                <w:szCs w:val="24"/>
              </w:rPr>
            </w:pPr>
            <w:r w:rsidRPr="00651964">
              <w:rPr>
                <w:color w:val="000000"/>
                <w:sz w:val="22"/>
              </w:rPr>
              <w:t>2/20/2019</w:t>
            </w:r>
          </w:p>
        </w:tc>
        <w:tc>
          <w:tcPr>
            <w:tcW w:w="1870" w:type="dxa"/>
            <w:vAlign w:val="center"/>
          </w:tcPr>
          <w:p w14:paraId="54954853" w14:textId="63177C9F" w:rsidR="00651964" w:rsidRPr="00651964" w:rsidRDefault="00651964" w:rsidP="00651964">
            <w:pPr>
              <w:pStyle w:val="ListParagraph"/>
              <w:ind w:left="0"/>
              <w:jc w:val="center"/>
              <w:rPr>
                <w:szCs w:val="24"/>
              </w:rPr>
            </w:pPr>
            <w:r w:rsidRPr="00651964">
              <w:rPr>
                <w:color w:val="000000"/>
                <w:sz w:val="22"/>
              </w:rPr>
              <w:t>2/28/2019</w:t>
            </w:r>
          </w:p>
        </w:tc>
        <w:tc>
          <w:tcPr>
            <w:tcW w:w="1870" w:type="dxa"/>
            <w:vAlign w:val="center"/>
          </w:tcPr>
          <w:p w14:paraId="7E047A74" w14:textId="1714CA2A" w:rsidR="00651964" w:rsidRPr="00651964" w:rsidRDefault="00651964" w:rsidP="00651964">
            <w:pPr>
              <w:pStyle w:val="ListParagraph"/>
              <w:ind w:left="0"/>
              <w:jc w:val="center"/>
              <w:rPr>
                <w:szCs w:val="24"/>
              </w:rPr>
            </w:pPr>
            <w:r w:rsidRPr="00651964">
              <w:rPr>
                <w:color w:val="000000"/>
                <w:sz w:val="22"/>
              </w:rPr>
              <w:t>9</w:t>
            </w:r>
          </w:p>
        </w:tc>
        <w:tc>
          <w:tcPr>
            <w:tcW w:w="1870" w:type="dxa"/>
            <w:vAlign w:val="center"/>
          </w:tcPr>
          <w:p w14:paraId="0CDAC056" w14:textId="139C5E0A" w:rsidR="00651964" w:rsidRPr="00651964" w:rsidRDefault="00651964" w:rsidP="00651964">
            <w:pPr>
              <w:pStyle w:val="ListParagraph"/>
              <w:ind w:left="0"/>
              <w:jc w:val="center"/>
              <w:rPr>
                <w:szCs w:val="24"/>
              </w:rPr>
            </w:pPr>
            <w:r w:rsidRPr="00651964">
              <w:rPr>
                <w:color w:val="000000"/>
                <w:sz w:val="22"/>
              </w:rPr>
              <w:t>25.57</w:t>
            </w:r>
          </w:p>
        </w:tc>
      </w:tr>
      <w:tr w:rsidR="00651964" w14:paraId="0E68F47B" w14:textId="77777777" w:rsidTr="00651964">
        <w:trPr>
          <w:trHeight w:val="288"/>
        </w:trPr>
        <w:tc>
          <w:tcPr>
            <w:tcW w:w="1870" w:type="dxa"/>
            <w:vAlign w:val="center"/>
          </w:tcPr>
          <w:p w14:paraId="165E2C59" w14:textId="4980D138" w:rsidR="00651964" w:rsidRPr="00651964" w:rsidRDefault="00651964" w:rsidP="00651964">
            <w:pPr>
              <w:pStyle w:val="ListParagraph"/>
              <w:ind w:left="0"/>
              <w:jc w:val="center"/>
              <w:rPr>
                <w:szCs w:val="24"/>
              </w:rPr>
            </w:pPr>
            <w:r w:rsidRPr="00651964">
              <w:rPr>
                <w:color w:val="000000"/>
                <w:sz w:val="22"/>
              </w:rPr>
              <w:t>7</w:t>
            </w:r>
          </w:p>
        </w:tc>
        <w:tc>
          <w:tcPr>
            <w:tcW w:w="1870" w:type="dxa"/>
            <w:vAlign w:val="center"/>
          </w:tcPr>
          <w:p w14:paraId="35D80BA7" w14:textId="70D0629F" w:rsidR="00651964" w:rsidRPr="00651964" w:rsidRDefault="00651964" w:rsidP="00651964">
            <w:pPr>
              <w:pStyle w:val="ListParagraph"/>
              <w:ind w:left="0"/>
              <w:jc w:val="center"/>
              <w:rPr>
                <w:szCs w:val="24"/>
              </w:rPr>
            </w:pPr>
            <w:r w:rsidRPr="00651964">
              <w:rPr>
                <w:color w:val="000000"/>
                <w:sz w:val="22"/>
              </w:rPr>
              <w:t>2/21/2020</w:t>
            </w:r>
          </w:p>
        </w:tc>
        <w:tc>
          <w:tcPr>
            <w:tcW w:w="1870" w:type="dxa"/>
            <w:vAlign w:val="center"/>
          </w:tcPr>
          <w:p w14:paraId="3C43DDC9" w14:textId="0564686C" w:rsidR="00651964" w:rsidRPr="00651964" w:rsidRDefault="00651964" w:rsidP="00651964">
            <w:pPr>
              <w:pStyle w:val="ListParagraph"/>
              <w:ind w:left="0"/>
              <w:jc w:val="center"/>
              <w:rPr>
                <w:szCs w:val="24"/>
              </w:rPr>
            </w:pPr>
            <w:r w:rsidRPr="00651964">
              <w:rPr>
                <w:color w:val="000000"/>
                <w:sz w:val="22"/>
              </w:rPr>
              <w:t>3/4/2020</w:t>
            </w:r>
          </w:p>
        </w:tc>
        <w:tc>
          <w:tcPr>
            <w:tcW w:w="1870" w:type="dxa"/>
            <w:vAlign w:val="center"/>
          </w:tcPr>
          <w:p w14:paraId="12A032E0" w14:textId="7806B80B" w:rsidR="00651964" w:rsidRPr="00651964" w:rsidRDefault="00651964" w:rsidP="00651964">
            <w:pPr>
              <w:pStyle w:val="ListParagraph"/>
              <w:ind w:left="0"/>
              <w:jc w:val="center"/>
              <w:rPr>
                <w:szCs w:val="24"/>
              </w:rPr>
            </w:pPr>
            <w:r w:rsidRPr="00651964">
              <w:rPr>
                <w:color w:val="000000"/>
                <w:sz w:val="22"/>
              </w:rPr>
              <w:t>13</w:t>
            </w:r>
          </w:p>
        </w:tc>
        <w:tc>
          <w:tcPr>
            <w:tcW w:w="1870" w:type="dxa"/>
            <w:vAlign w:val="center"/>
          </w:tcPr>
          <w:p w14:paraId="26CC8076" w14:textId="34CF82C5" w:rsidR="00651964" w:rsidRPr="00651964" w:rsidRDefault="00651964" w:rsidP="00651964">
            <w:pPr>
              <w:pStyle w:val="ListParagraph"/>
              <w:ind w:left="0"/>
              <w:jc w:val="center"/>
              <w:rPr>
                <w:szCs w:val="24"/>
              </w:rPr>
            </w:pPr>
            <w:r w:rsidRPr="00651964">
              <w:rPr>
                <w:color w:val="000000"/>
                <w:sz w:val="22"/>
              </w:rPr>
              <w:t>36.67</w:t>
            </w:r>
          </w:p>
        </w:tc>
      </w:tr>
      <w:tr w:rsidR="00651964" w14:paraId="4EE10250" w14:textId="77777777" w:rsidTr="00651964">
        <w:trPr>
          <w:trHeight w:val="288"/>
        </w:trPr>
        <w:tc>
          <w:tcPr>
            <w:tcW w:w="1870" w:type="dxa"/>
            <w:vAlign w:val="center"/>
          </w:tcPr>
          <w:p w14:paraId="6B77BC57" w14:textId="6DE71B25" w:rsidR="00651964" w:rsidRPr="00651964" w:rsidRDefault="00651964" w:rsidP="00651964">
            <w:pPr>
              <w:pStyle w:val="ListParagraph"/>
              <w:ind w:left="0"/>
              <w:jc w:val="center"/>
              <w:rPr>
                <w:szCs w:val="24"/>
              </w:rPr>
            </w:pPr>
            <w:r w:rsidRPr="00651964">
              <w:rPr>
                <w:color w:val="000000"/>
                <w:sz w:val="22"/>
              </w:rPr>
              <w:t>8</w:t>
            </w:r>
          </w:p>
        </w:tc>
        <w:tc>
          <w:tcPr>
            <w:tcW w:w="1870" w:type="dxa"/>
            <w:vAlign w:val="center"/>
          </w:tcPr>
          <w:p w14:paraId="6B815581" w14:textId="17D89450" w:rsidR="00651964" w:rsidRPr="00651964" w:rsidRDefault="00651964" w:rsidP="00651964">
            <w:pPr>
              <w:pStyle w:val="ListParagraph"/>
              <w:ind w:left="0"/>
              <w:jc w:val="center"/>
              <w:rPr>
                <w:szCs w:val="24"/>
              </w:rPr>
            </w:pPr>
            <w:r w:rsidRPr="00651964">
              <w:rPr>
                <w:color w:val="000000"/>
                <w:sz w:val="22"/>
              </w:rPr>
              <w:t>9/2/2020</w:t>
            </w:r>
          </w:p>
        </w:tc>
        <w:tc>
          <w:tcPr>
            <w:tcW w:w="1870" w:type="dxa"/>
            <w:vAlign w:val="center"/>
          </w:tcPr>
          <w:p w14:paraId="5BBA3876" w14:textId="6ABE853F" w:rsidR="00651964" w:rsidRPr="00651964" w:rsidRDefault="00651964" w:rsidP="00651964">
            <w:pPr>
              <w:pStyle w:val="ListParagraph"/>
              <w:ind w:left="0"/>
              <w:jc w:val="center"/>
              <w:rPr>
                <w:szCs w:val="24"/>
              </w:rPr>
            </w:pPr>
            <w:r w:rsidRPr="00651964">
              <w:rPr>
                <w:color w:val="000000"/>
                <w:sz w:val="22"/>
              </w:rPr>
              <w:t>11/4/2020</w:t>
            </w:r>
          </w:p>
        </w:tc>
        <w:tc>
          <w:tcPr>
            <w:tcW w:w="1870" w:type="dxa"/>
            <w:vAlign w:val="center"/>
          </w:tcPr>
          <w:p w14:paraId="1214F7CA" w14:textId="2A0AA6F7" w:rsidR="00651964" w:rsidRPr="00651964" w:rsidRDefault="00651964" w:rsidP="00651964">
            <w:pPr>
              <w:pStyle w:val="ListParagraph"/>
              <w:ind w:left="0"/>
              <w:jc w:val="center"/>
              <w:rPr>
                <w:szCs w:val="24"/>
              </w:rPr>
            </w:pPr>
            <w:r w:rsidRPr="00651964">
              <w:rPr>
                <w:color w:val="000000"/>
                <w:sz w:val="22"/>
              </w:rPr>
              <w:t>64</w:t>
            </w:r>
          </w:p>
        </w:tc>
        <w:tc>
          <w:tcPr>
            <w:tcW w:w="1870" w:type="dxa"/>
            <w:vAlign w:val="center"/>
          </w:tcPr>
          <w:p w14:paraId="4972A998" w14:textId="75B42CD7" w:rsidR="00651964" w:rsidRPr="00651964" w:rsidRDefault="00651964" w:rsidP="00651964">
            <w:pPr>
              <w:pStyle w:val="ListParagraph"/>
              <w:ind w:left="0"/>
              <w:jc w:val="center"/>
              <w:rPr>
                <w:szCs w:val="24"/>
              </w:rPr>
            </w:pPr>
            <w:r w:rsidRPr="00651964">
              <w:rPr>
                <w:color w:val="000000"/>
                <w:sz w:val="22"/>
              </w:rPr>
              <w:t>180.76</w:t>
            </w:r>
          </w:p>
        </w:tc>
      </w:tr>
      <w:tr w:rsidR="00651964" w14:paraId="447647FD" w14:textId="77777777" w:rsidTr="00651964">
        <w:trPr>
          <w:trHeight w:val="288"/>
        </w:trPr>
        <w:tc>
          <w:tcPr>
            <w:tcW w:w="5610" w:type="dxa"/>
            <w:gridSpan w:val="3"/>
            <w:shd w:val="clear" w:color="auto" w:fill="BFBFBF" w:themeFill="background1" w:themeFillShade="BF"/>
            <w:vAlign w:val="center"/>
          </w:tcPr>
          <w:p w14:paraId="3AC367C1" w14:textId="287F4C13" w:rsidR="00651964" w:rsidRPr="00651964" w:rsidRDefault="00651964" w:rsidP="00651964">
            <w:pPr>
              <w:pStyle w:val="ListParagraph"/>
              <w:ind w:left="0"/>
              <w:jc w:val="right"/>
              <w:rPr>
                <w:b/>
                <w:bCs/>
                <w:szCs w:val="24"/>
              </w:rPr>
            </w:pPr>
            <w:r w:rsidRPr="00651964">
              <w:rPr>
                <w:b/>
                <w:bCs/>
                <w:szCs w:val="24"/>
              </w:rPr>
              <w:t>Total</w:t>
            </w:r>
          </w:p>
        </w:tc>
        <w:tc>
          <w:tcPr>
            <w:tcW w:w="1870" w:type="dxa"/>
            <w:shd w:val="clear" w:color="auto" w:fill="BFBFBF" w:themeFill="background1" w:themeFillShade="BF"/>
            <w:vAlign w:val="center"/>
          </w:tcPr>
          <w:p w14:paraId="7570397E" w14:textId="5E2658C5" w:rsidR="00651964" w:rsidRPr="00651964" w:rsidRDefault="00651964" w:rsidP="00651964">
            <w:pPr>
              <w:pStyle w:val="ListParagraph"/>
              <w:ind w:left="0"/>
              <w:jc w:val="center"/>
              <w:rPr>
                <w:b/>
                <w:bCs/>
                <w:szCs w:val="24"/>
              </w:rPr>
            </w:pPr>
            <w:r w:rsidRPr="00651964">
              <w:rPr>
                <w:b/>
                <w:bCs/>
                <w:color w:val="000000"/>
                <w:sz w:val="22"/>
              </w:rPr>
              <w:t>209</w:t>
            </w:r>
          </w:p>
        </w:tc>
        <w:tc>
          <w:tcPr>
            <w:tcW w:w="1870" w:type="dxa"/>
            <w:shd w:val="clear" w:color="auto" w:fill="BFBFBF" w:themeFill="background1" w:themeFillShade="BF"/>
            <w:vAlign w:val="center"/>
          </w:tcPr>
          <w:p w14:paraId="6D5A8391" w14:textId="00285636" w:rsidR="00651964" w:rsidRPr="00651964" w:rsidRDefault="00651964" w:rsidP="00651964">
            <w:pPr>
              <w:pStyle w:val="ListParagraph"/>
              <w:ind w:left="0"/>
              <w:jc w:val="center"/>
              <w:rPr>
                <w:b/>
                <w:bCs/>
                <w:szCs w:val="24"/>
              </w:rPr>
            </w:pPr>
            <w:r w:rsidRPr="00651964">
              <w:rPr>
                <w:b/>
                <w:bCs/>
                <w:color w:val="000000"/>
                <w:sz w:val="22"/>
              </w:rPr>
              <w:t>570.42</w:t>
            </w:r>
          </w:p>
        </w:tc>
      </w:tr>
    </w:tbl>
    <w:p w14:paraId="5A531CEA" w14:textId="77777777" w:rsidR="00651964" w:rsidRDefault="00651964" w:rsidP="00517A78"/>
    <w:p w14:paraId="104DF0BF" w14:textId="16F5276D" w:rsidR="000A1983" w:rsidRDefault="00B417C3" w:rsidP="00517A78">
      <w:r>
        <w:t xml:space="preserve">For the </w:t>
      </w:r>
      <w:r w:rsidR="00975B04">
        <w:t xml:space="preserve">accounting </w:t>
      </w:r>
      <w:r>
        <w:t xml:space="preserve">analysis, the total gallons pumped are converted </w:t>
      </w:r>
      <w:r w:rsidR="00195515">
        <w:t xml:space="preserve">to </w:t>
      </w:r>
      <w:r>
        <w:t>acre-feet and then to a daily average pumping rate</w:t>
      </w:r>
      <w:r w:rsidR="00034AA6">
        <w:t xml:space="preserve"> in cfs</w:t>
      </w:r>
      <w:r>
        <w:t xml:space="preserve"> for the period of operation.  </w:t>
      </w:r>
      <w:r w:rsidR="00830660">
        <w:t>By design, this well is intercepting and pumping recharged groundwater that would</w:t>
      </w:r>
      <w:r w:rsidR="00682EE2">
        <w:t xml:space="preserve"> otherwise eventually discharge to the Platte River.  These depletions are estimated on a monthly basis using a URF developed specifically for the Cook </w:t>
      </w:r>
      <w:r w:rsidR="005B7476">
        <w:t>w</w:t>
      </w:r>
      <w:r w:rsidR="00682EE2">
        <w:t>ell given its physical location and aquifer properties and likewise converted back to a daily average rate.</w:t>
      </w:r>
      <w:r w:rsidR="00E53B34">
        <w:t xml:space="preserve">  </w:t>
      </w:r>
      <w:r w:rsidR="00E53B34" w:rsidRPr="003075CE">
        <w:rPr>
          <w:b/>
          <w:bCs/>
        </w:rPr>
        <w:t xml:space="preserve">Figure </w:t>
      </w:r>
      <w:r w:rsidR="006B0B60">
        <w:rPr>
          <w:b/>
          <w:bCs/>
        </w:rPr>
        <w:t>3</w:t>
      </w:r>
      <w:r w:rsidR="00195515">
        <w:rPr>
          <w:b/>
          <w:bCs/>
        </w:rPr>
        <w:t xml:space="preserve"> </w:t>
      </w:r>
      <w:r w:rsidR="00E53B34">
        <w:t>shows the monthly and cumulative unit responses for Cook well</w:t>
      </w:r>
      <w:r w:rsidR="00741C1F">
        <w:t xml:space="preserve"> </w:t>
      </w:r>
      <w:r w:rsidR="0096086A">
        <w:t xml:space="preserve">depletions </w:t>
      </w:r>
      <w:r w:rsidR="00741C1F">
        <w:t>for the first 10 years</w:t>
      </w:r>
      <w:r w:rsidR="00195515">
        <w:t xml:space="preserve"> (120 months)</w:t>
      </w:r>
      <w:r w:rsidR="00E53B34">
        <w:t>.</w:t>
      </w:r>
    </w:p>
    <w:p w14:paraId="7EBEEC9D" w14:textId="1E608FB8" w:rsidR="00327949" w:rsidRDefault="00340FB0" w:rsidP="00A22996">
      <w:r>
        <w:rPr>
          <w:noProof/>
        </w:rPr>
        <w:lastRenderedPageBreak/>
        <w:drawing>
          <wp:inline distT="0" distB="0" distL="0" distR="0" wp14:anchorId="627DFB26" wp14:editId="330E2C42">
            <wp:extent cx="5909392" cy="428625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919947" cy="4293906"/>
                    </a:xfrm>
                    <a:prstGeom prst="rect">
                      <a:avLst/>
                    </a:prstGeom>
                    <a:noFill/>
                  </pic:spPr>
                </pic:pic>
              </a:graphicData>
            </a:graphic>
          </wp:inline>
        </w:drawing>
      </w:r>
      <w:r w:rsidR="00682EE2">
        <w:t xml:space="preserve">  </w:t>
      </w:r>
    </w:p>
    <w:p w14:paraId="174BD013" w14:textId="2FEF9901" w:rsidR="007C7334" w:rsidRPr="00322D86" w:rsidRDefault="00322D86" w:rsidP="00A22996">
      <w:pPr>
        <w:rPr>
          <w:b/>
          <w:bCs/>
          <w:sz w:val="22"/>
        </w:rPr>
      </w:pPr>
      <w:r w:rsidRPr="00322D86">
        <w:rPr>
          <w:b/>
          <w:bCs/>
          <w:sz w:val="22"/>
        </w:rPr>
        <w:t>Figure</w:t>
      </w:r>
      <w:r w:rsidR="006B0B60">
        <w:rPr>
          <w:b/>
          <w:bCs/>
          <w:sz w:val="22"/>
        </w:rPr>
        <w:t xml:space="preserve"> 3. Monthly and Cumulative Unit Responses for Cook Well Depletions</w:t>
      </w:r>
    </w:p>
    <w:p w14:paraId="54892376" w14:textId="77777777" w:rsidR="00A22996" w:rsidRDefault="00A22996" w:rsidP="00A22996"/>
    <w:p w14:paraId="68FD22A0" w14:textId="07E9AE69" w:rsidR="00741C1F" w:rsidRDefault="00741C1F" w:rsidP="00A22996">
      <w:r>
        <w:t>As with the canal recharge, the response timing is quick, with depletions peaking in the second month at 21% and cumulative depletions exceeding 70% after one year.</w:t>
      </w:r>
    </w:p>
    <w:p w14:paraId="2AD49FDA" w14:textId="77777777" w:rsidR="00A22996" w:rsidRDefault="00A22996" w:rsidP="00A22996"/>
    <w:p w14:paraId="0AE559AB" w14:textId="1F62BB11" w:rsidR="00BE7043" w:rsidRDefault="00BE7043" w:rsidP="00A22996">
      <w:pPr>
        <w:rPr>
          <w:b/>
          <w:bCs/>
        </w:rPr>
      </w:pPr>
      <w:r w:rsidRPr="00BE7043">
        <w:rPr>
          <w:b/>
          <w:bCs/>
        </w:rPr>
        <w:t>Phelps and Cook Combined Effects</w:t>
      </w:r>
    </w:p>
    <w:p w14:paraId="29AF4B5A" w14:textId="77777777" w:rsidR="00A22996" w:rsidRPr="00BE7043" w:rsidRDefault="00A22996" w:rsidP="00A22996">
      <w:pPr>
        <w:rPr>
          <w:b/>
          <w:bCs/>
        </w:rPr>
      </w:pPr>
    </w:p>
    <w:p w14:paraId="68430A47" w14:textId="364D33B2" w:rsidR="00324122" w:rsidRDefault="00682EE2" w:rsidP="00A22996">
      <w:r>
        <w:t xml:space="preserve">The net impact of Cook </w:t>
      </w:r>
      <w:r w:rsidR="005B7476">
        <w:t>w</w:t>
      </w:r>
      <w:r>
        <w:t xml:space="preserve">ell operations (pumping minus depletions) is </w:t>
      </w:r>
      <w:r w:rsidR="00C729D1">
        <w:t>applied</w:t>
      </w:r>
      <w:r>
        <w:t xml:space="preserve"> to the Phelps recharge accretions above Overton.</w:t>
      </w:r>
      <w:r w:rsidR="00C729D1">
        <w:t xml:space="preserve">  </w:t>
      </w:r>
      <w:r w:rsidR="00395F46">
        <w:t>During months</w:t>
      </w:r>
      <w:r w:rsidR="00C729D1">
        <w:t xml:space="preserve"> in which the Cook </w:t>
      </w:r>
      <w:r w:rsidR="005B7476">
        <w:t>w</w:t>
      </w:r>
      <w:r w:rsidR="00C729D1">
        <w:t>ell is actively pumping to the river</w:t>
      </w:r>
      <w:r w:rsidR="00395F46">
        <w:t xml:space="preserve">, the net impact is </w:t>
      </w:r>
      <w:r w:rsidR="000C35F4">
        <w:t xml:space="preserve">generally </w:t>
      </w:r>
      <w:r w:rsidR="00395F46">
        <w:t xml:space="preserve">positive and added to </w:t>
      </w:r>
      <w:r w:rsidR="00822369">
        <w:t xml:space="preserve">the </w:t>
      </w:r>
      <w:r w:rsidR="00E1547B">
        <w:t xml:space="preserve">daily </w:t>
      </w:r>
      <w:r w:rsidR="00822369">
        <w:t xml:space="preserve">recharge accretions; in </w:t>
      </w:r>
      <w:r w:rsidR="000C35F4">
        <w:t>most</w:t>
      </w:r>
      <w:r w:rsidR="00822369">
        <w:t xml:space="preserve"> other months</w:t>
      </w:r>
      <w:r w:rsidR="00395F46">
        <w:t>,</w:t>
      </w:r>
      <w:r w:rsidR="00C729D1">
        <w:t xml:space="preserve"> the calculated depletions</w:t>
      </w:r>
      <w:r w:rsidR="00395F46">
        <w:t xml:space="preserve"> have a net negative impact and are subtracted</w:t>
      </w:r>
      <w:r w:rsidR="00822369">
        <w:t xml:space="preserve"> from t</w:t>
      </w:r>
      <w:r w:rsidR="00E1547B">
        <w:t>he daily</w:t>
      </w:r>
      <w:r w:rsidR="004D3102">
        <w:t xml:space="preserve"> Phelps recharge</w:t>
      </w:r>
      <w:r w:rsidR="00E1547B">
        <w:t xml:space="preserve"> </w:t>
      </w:r>
      <w:r w:rsidR="00822369">
        <w:t>accretions.</w:t>
      </w:r>
      <w:r w:rsidR="00395F46">
        <w:t xml:space="preserve"> </w:t>
      </w:r>
      <w:r w:rsidR="00C729D1">
        <w:t xml:space="preserve"> </w:t>
      </w:r>
      <w:r>
        <w:t xml:space="preserve"> </w:t>
      </w:r>
    </w:p>
    <w:p w14:paraId="4AC51538" w14:textId="77777777" w:rsidR="00A22996" w:rsidRDefault="00A22996" w:rsidP="00A22996"/>
    <w:p w14:paraId="1AAB9695" w14:textId="19B3F7F5" w:rsidR="00324122" w:rsidRDefault="00324122" w:rsidP="00A22996">
      <w:r w:rsidRPr="00324122">
        <w:rPr>
          <w:b/>
          <w:bCs/>
        </w:rPr>
        <w:t xml:space="preserve">Figure </w:t>
      </w:r>
      <w:r w:rsidR="007C1EB6">
        <w:rPr>
          <w:b/>
          <w:bCs/>
        </w:rPr>
        <w:t>4</w:t>
      </w:r>
      <w:r>
        <w:t xml:space="preserve"> shows the periods of Phelps recharge diversions and Cook </w:t>
      </w:r>
      <w:r w:rsidR="005B7476">
        <w:t>w</w:t>
      </w:r>
      <w:r>
        <w:t>ell pumping, along with the calculated daily average accretion rate.</w:t>
      </w:r>
      <w:r w:rsidR="00A37F9F">
        <w:t xml:space="preserve">  </w:t>
      </w:r>
      <w:r w:rsidR="00966D34">
        <w:t xml:space="preserve">The accretion rate increases with each </w:t>
      </w:r>
      <w:r w:rsidR="00A2671C">
        <w:t>successive</w:t>
      </w:r>
      <w:r w:rsidR="00966D34">
        <w:t xml:space="preserve"> input of recharge water</w:t>
      </w:r>
      <w:r w:rsidR="006656C6">
        <w:t xml:space="preserve">—in a manner consistent with the monthly unit response shown in Figure </w:t>
      </w:r>
      <w:r w:rsidR="00C104B0">
        <w:t>1</w:t>
      </w:r>
      <w:r w:rsidR="00A2671C">
        <w:t xml:space="preserve"> and the principle of superposition</w:t>
      </w:r>
      <w:r w:rsidR="006656C6">
        <w:t xml:space="preserve">—and </w:t>
      </w:r>
      <w:r w:rsidR="00F01E23">
        <w:t>peaks in the months thereafter</w:t>
      </w:r>
      <w:r w:rsidR="00966D34">
        <w:t>, but s</w:t>
      </w:r>
      <w:r w:rsidR="00A37F9F">
        <w:t>ince recharge</w:t>
      </w:r>
      <w:r w:rsidR="00966D34">
        <w:t xml:space="preserve"> from the canal</w:t>
      </w:r>
      <w:r w:rsidR="00A37F9F">
        <w:t xml:space="preserve"> effectively stops once diversions</w:t>
      </w:r>
      <w:r w:rsidR="00966D34">
        <w:t xml:space="preserve"> end,</w:t>
      </w:r>
      <w:r w:rsidR="00A37F9F">
        <w:t xml:space="preserve"> the accretion rate </w:t>
      </w:r>
      <w:r w:rsidR="00F01E23">
        <w:t xml:space="preserve">then </w:t>
      </w:r>
      <w:r w:rsidR="00A37F9F">
        <w:t xml:space="preserve">trails off between recharge periods.  When </w:t>
      </w:r>
      <w:proofErr w:type="gramStart"/>
      <w:r w:rsidR="00A37F9F">
        <w:t>Cook</w:t>
      </w:r>
      <w:proofErr w:type="gramEnd"/>
      <w:r w:rsidR="00A37F9F">
        <w:t xml:space="preserve"> </w:t>
      </w:r>
      <w:r w:rsidR="005B7476">
        <w:t>w</w:t>
      </w:r>
      <w:r w:rsidR="00A37F9F">
        <w:t xml:space="preserve">ell pumping is sustained, such as in </w:t>
      </w:r>
      <w:r w:rsidR="009447DC">
        <w:t>the fall of</w:t>
      </w:r>
      <w:r w:rsidR="00A37F9F">
        <w:t xml:space="preserve"> 2016, 2017, or 2020, there is a noticeable corresponding jump in the accretion rate.</w:t>
      </w:r>
      <w:r w:rsidR="00011A63">
        <w:t xml:space="preserve">  Accretions from Phelps recharge and Cook well pumping peaked at 7.5 cfs in February 2017.</w:t>
      </w:r>
    </w:p>
    <w:p w14:paraId="68B14E43" w14:textId="5816D41D" w:rsidR="00324122" w:rsidRDefault="00FB0BC2" w:rsidP="00A22996">
      <w:r>
        <w:rPr>
          <w:noProof/>
        </w:rPr>
        <w:lastRenderedPageBreak/>
        <w:drawing>
          <wp:inline distT="0" distB="0" distL="0" distR="0" wp14:anchorId="1FF567E1" wp14:editId="3EECF01F">
            <wp:extent cx="5943600" cy="4314967"/>
            <wp:effectExtent l="0" t="0" r="0" b="9525"/>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948395" cy="4318448"/>
                    </a:xfrm>
                    <a:prstGeom prst="rect">
                      <a:avLst/>
                    </a:prstGeom>
                    <a:noFill/>
                  </pic:spPr>
                </pic:pic>
              </a:graphicData>
            </a:graphic>
          </wp:inline>
        </w:drawing>
      </w:r>
    </w:p>
    <w:p w14:paraId="7F416037" w14:textId="378D7B1B" w:rsidR="00980141" w:rsidRPr="00FE3BF0" w:rsidRDefault="00324122" w:rsidP="00A22996">
      <w:pPr>
        <w:rPr>
          <w:b/>
          <w:bCs/>
          <w:sz w:val="22"/>
        </w:rPr>
      </w:pPr>
      <w:r w:rsidRPr="00FE3BF0">
        <w:rPr>
          <w:b/>
          <w:bCs/>
          <w:sz w:val="22"/>
        </w:rPr>
        <w:t xml:space="preserve">Figure </w:t>
      </w:r>
      <w:r w:rsidR="007C1EB6">
        <w:rPr>
          <w:b/>
          <w:bCs/>
          <w:sz w:val="22"/>
        </w:rPr>
        <w:t>4</w:t>
      </w:r>
      <w:r w:rsidRPr="00FE3BF0">
        <w:rPr>
          <w:b/>
          <w:bCs/>
          <w:sz w:val="22"/>
        </w:rPr>
        <w:t>.  Phelps Recharge</w:t>
      </w:r>
      <w:r w:rsidR="007C1EB6">
        <w:rPr>
          <w:b/>
          <w:bCs/>
          <w:sz w:val="22"/>
        </w:rPr>
        <w:t xml:space="preserve"> and </w:t>
      </w:r>
      <w:r w:rsidRPr="00FE3BF0">
        <w:rPr>
          <w:b/>
          <w:bCs/>
          <w:sz w:val="22"/>
        </w:rPr>
        <w:t>Cook Well Pumping</w:t>
      </w:r>
      <w:r w:rsidR="007C1EB6">
        <w:rPr>
          <w:b/>
          <w:bCs/>
          <w:sz w:val="22"/>
        </w:rPr>
        <w:t xml:space="preserve"> Periods with </w:t>
      </w:r>
      <w:r w:rsidRPr="00FE3BF0">
        <w:rPr>
          <w:b/>
          <w:bCs/>
          <w:sz w:val="22"/>
        </w:rPr>
        <w:t>Accretion</w:t>
      </w:r>
      <w:r w:rsidR="00E03C3F">
        <w:rPr>
          <w:b/>
          <w:bCs/>
          <w:sz w:val="22"/>
        </w:rPr>
        <w:t xml:space="preserve"> Rates</w:t>
      </w:r>
      <w:r w:rsidR="00682EE2" w:rsidRPr="00FE3BF0">
        <w:rPr>
          <w:b/>
          <w:bCs/>
          <w:sz w:val="22"/>
        </w:rPr>
        <w:t xml:space="preserve">  </w:t>
      </w:r>
      <w:r w:rsidR="00830660" w:rsidRPr="00FE3BF0">
        <w:rPr>
          <w:b/>
          <w:bCs/>
          <w:sz w:val="22"/>
        </w:rPr>
        <w:t xml:space="preserve">  </w:t>
      </w:r>
    </w:p>
    <w:p w14:paraId="350711B0" w14:textId="77777777" w:rsidR="00A22996" w:rsidRDefault="00A22996" w:rsidP="00A22996"/>
    <w:p w14:paraId="0E4E2C17" w14:textId="4E23231E" w:rsidR="00FE3BF0" w:rsidRDefault="00E1547B" w:rsidP="00A22996">
      <w:pPr>
        <w:rPr>
          <w:b/>
          <w:sz w:val="22"/>
        </w:rPr>
      </w:pPr>
      <w:r>
        <w:t xml:space="preserve">Once the </w:t>
      </w:r>
      <w:r w:rsidR="00F241BA">
        <w:t xml:space="preserve">net </w:t>
      </w:r>
      <w:r>
        <w:t xml:space="preserve">daily accretions to the Platte River from both Phelps recharge and </w:t>
      </w:r>
      <w:proofErr w:type="gramStart"/>
      <w:r>
        <w:t>Cook</w:t>
      </w:r>
      <w:proofErr w:type="gramEnd"/>
      <w:r>
        <w:t xml:space="preserve"> </w:t>
      </w:r>
      <w:r w:rsidR="005B7476">
        <w:t>w</w:t>
      </w:r>
      <w:r>
        <w:t xml:space="preserve">ell pumping are determined, the water is </w:t>
      </w:r>
      <w:r w:rsidR="00AE37D6">
        <w:t>routed downriver to Grand Island by accounting for transit losses.</w:t>
      </w:r>
      <w:r w:rsidR="00500928">
        <w:t xml:space="preserve"> </w:t>
      </w:r>
      <w:r w:rsidR="007F15C8">
        <w:t xml:space="preserve"> </w:t>
      </w:r>
      <w:r>
        <w:t xml:space="preserve">Target flow shortages are assessed on a daily basis, and the contribution of </w:t>
      </w:r>
      <w:r w:rsidR="0048384A">
        <w:t xml:space="preserve">Phelps/Cook water to deficit reduction at Grand Island is determined.  Daily results are then summed to get monthly and annual results.  </w:t>
      </w:r>
      <w:r w:rsidR="00742DF4" w:rsidRPr="00742DF4">
        <w:rPr>
          <w:b/>
        </w:rPr>
        <w:t xml:space="preserve">Table </w:t>
      </w:r>
      <w:r w:rsidR="00FE3BF0">
        <w:rPr>
          <w:b/>
        </w:rPr>
        <w:t>6</w:t>
      </w:r>
      <w:r w:rsidR="00E27C8F">
        <w:t xml:space="preserve"> </w:t>
      </w:r>
      <w:r w:rsidR="00742DF4">
        <w:t>presents</w:t>
      </w:r>
      <w:r w:rsidR="0048384A">
        <w:t xml:space="preserve"> the</w:t>
      </w:r>
      <w:r w:rsidR="00742DF4">
        <w:t xml:space="preserve"> </w:t>
      </w:r>
      <w:r w:rsidR="00A60331">
        <w:t>annual</w:t>
      </w:r>
      <w:r w:rsidR="00742DF4">
        <w:t xml:space="preserve"> results of accounting analyses for the Phelps County Canal </w:t>
      </w:r>
      <w:r w:rsidR="0048384A">
        <w:t xml:space="preserve">recharge </w:t>
      </w:r>
      <w:r w:rsidR="00742DF4">
        <w:t xml:space="preserve">and </w:t>
      </w:r>
      <w:r w:rsidR="0048384A">
        <w:t xml:space="preserve">the </w:t>
      </w:r>
      <w:r w:rsidR="00742DF4">
        <w:t xml:space="preserve">Cook </w:t>
      </w:r>
      <w:r w:rsidR="005B7476">
        <w:t>w</w:t>
      </w:r>
      <w:r w:rsidR="00742DF4">
        <w:t>ell since operations</w:t>
      </w:r>
      <w:r w:rsidR="001C48BC">
        <w:t xml:space="preserve"> began</w:t>
      </w:r>
      <w:r w:rsidR="00742DF4">
        <w:t xml:space="preserve"> in 201</w:t>
      </w:r>
      <w:r w:rsidR="001C48BC">
        <w:t>1</w:t>
      </w:r>
      <w:r w:rsidR="00A60331">
        <w:t>.</w:t>
      </w:r>
      <w:r w:rsidR="00B14E58">
        <w:t xml:space="preserve">  </w:t>
      </w:r>
      <w:r w:rsidR="00FE3BF0">
        <w:rPr>
          <w:b/>
          <w:sz w:val="22"/>
        </w:rPr>
        <w:br w:type="page"/>
      </w:r>
    </w:p>
    <w:p w14:paraId="15107236" w14:textId="7B3A8005" w:rsidR="00742DF4" w:rsidRPr="0039677D" w:rsidRDefault="00742DF4" w:rsidP="00742DF4">
      <w:pPr>
        <w:rPr>
          <w:b/>
          <w:sz w:val="22"/>
        </w:rPr>
      </w:pPr>
      <w:r w:rsidRPr="0039677D">
        <w:rPr>
          <w:b/>
          <w:sz w:val="22"/>
        </w:rPr>
        <w:lastRenderedPageBreak/>
        <w:t xml:space="preserve">Table </w:t>
      </w:r>
      <w:r w:rsidR="00FE3BF0">
        <w:rPr>
          <w:b/>
          <w:sz w:val="22"/>
        </w:rPr>
        <w:t>6</w:t>
      </w:r>
      <w:r w:rsidR="00750909">
        <w:rPr>
          <w:b/>
          <w:sz w:val="22"/>
        </w:rPr>
        <w:t>.</w:t>
      </w:r>
      <w:r w:rsidRPr="0039677D">
        <w:rPr>
          <w:b/>
          <w:sz w:val="22"/>
        </w:rPr>
        <w:t xml:space="preserve"> Phelps County</w:t>
      </w:r>
      <w:r w:rsidR="0048384A">
        <w:rPr>
          <w:b/>
          <w:sz w:val="22"/>
        </w:rPr>
        <w:t xml:space="preserve"> Canal</w:t>
      </w:r>
      <w:r w:rsidRPr="0039677D">
        <w:rPr>
          <w:b/>
          <w:sz w:val="22"/>
        </w:rPr>
        <w:t xml:space="preserve"> Recharge</w:t>
      </w:r>
      <w:r w:rsidR="00E20F21">
        <w:rPr>
          <w:b/>
          <w:sz w:val="22"/>
        </w:rPr>
        <w:t xml:space="preserve"> Project</w:t>
      </w:r>
      <w:r w:rsidRPr="0039677D">
        <w:rPr>
          <w:b/>
          <w:sz w:val="22"/>
        </w:rPr>
        <w:t xml:space="preserve"> and Cook Well </w:t>
      </w:r>
      <w:r w:rsidR="00D27A1E">
        <w:rPr>
          <w:b/>
          <w:sz w:val="22"/>
        </w:rPr>
        <w:t>Operations Accounting</w:t>
      </w:r>
      <w:r w:rsidR="00E20F21">
        <w:rPr>
          <w:b/>
          <w:sz w:val="22"/>
          <w:vertAlign w:val="superscript"/>
        </w:rPr>
        <w:t xml:space="preserve"> </w:t>
      </w:r>
      <w:r>
        <w:rPr>
          <w:b/>
          <w:sz w:val="22"/>
        </w:rPr>
        <w:t xml:space="preserve"> </w:t>
      </w:r>
    </w:p>
    <w:tbl>
      <w:tblPr>
        <w:tblW w:w="9445" w:type="dxa"/>
        <w:tblLayout w:type="fixed"/>
        <w:tblLook w:val="04A0" w:firstRow="1" w:lastRow="0" w:firstColumn="1" w:lastColumn="0" w:noHBand="0" w:noVBand="1"/>
      </w:tblPr>
      <w:tblGrid>
        <w:gridCol w:w="1349"/>
        <w:gridCol w:w="1349"/>
        <w:gridCol w:w="1349"/>
        <w:gridCol w:w="1350"/>
        <w:gridCol w:w="1349"/>
        <w:gridCol w:w="1349"/>
        <w:gridCol w:w="1350"/>
      </w:tblGrid>
      <w:tr w:rsidR="000D5A26" w:rsidRPr="0039677D" w14:paraId="7062947B" w14:textId="77777777" w:rsidTr="00BD24CE">
        <w:trPr>
          <w:trHeight w:val="593"/>
        </w:trPr>
        <w:tc>
          <w:tcPr>
            <w:tcW w:w="1349" w:type="dxa"/>
            <w:tcBorders>
              <w:top w:val="single" w:sz="4" w:space="0" w:color="auto"/>
              <w:left w:val="single" w:sz="4" w:space="0" w:color="auto"/>
              <w:bottom w:val="single" w:sz="4" w:space="0" w:color="auto"/>
              <w:right w:val="single" w:sz="4" w:space="0" w:color="auto"/>
            </w:tcBorders>
            <w:shd w:val="clear" w:color="auto" w:fill="C2D69B" w:themeFill="accent3" w:themeFillTint="99"/>
            <w:vAlign w:val="bottom"/>
            <w:hideMark/>
          </w:tcPr>
          <w:p w14:paraId="32FA4EB8" w14:textId="19C31785" w:rsidR="000D5A26" w:rsidRPr="00CD354B" w:rsidRDefault="00DB0F13" w:rsidP="000D5A26">
            <w:pPr>
              <w:jc w:val="center"/>
              <w:rPr>
                <w:b/>
                <w:bCs/>
                <w:color w:val="000000"/>
                <w:sz w:val="22"/>
              </w:rPr>
            </w:pPr>
            <w:r>
              <w:rPr>
                <w:b/>
                <w:bCs/>
                <w:color w:val="000000"/>
                <w:sz w:val="22"/>
              </w:rPr>
              <w:t>Year</w:t>
            </w:r>
          </w:p>
        </w:tc>
        <w:tc>
          <w:tcPr>
            <w:tcW w:w="1349" w:type="dxa"/>
            <w:tcBorders>
              <w:top w:val="single" w:sz="4" w:space="0" w:color="auto"/>
              <w:left w:val="nil"/>
              <w:bottom w:val="single" w:sz="4" w:space="0" w:color="auto"/>
              <w:right w:val="single" w:sz="4" w:space="0" w:color="auto"/>
            </w:tcBorders>
            <w:shd w:val="clear" w:color="auto" w:fill="C2D69B" w:themeFill="accent3" w:themeFillTint="99"/>
            <w:vAlign w:val="bottom"/>
          </w:tcPr>
          <w:p w14:paraId="1E8DBF5F" w14:textId="2DD8A2AC" w:rsidR="000D5A26" w:rsidRPr="00CD354B" w:rsidRDefault="000D5A26" w:rsidP="000D5A26">
            <w:pPr>
              <w:jc w:val="center"/>
              <w:rPr>
                <w:b/>
                <w:bCs/>
                <w:color w:val="000000"/>
                <w:sz w:val="22"/>
              </w:rPr>
            </w:pPr>
            <w:r w:rsidRPr="00CD354B">
              <w:rPr>
                <w:b/>
                <w:bCs/>
                <w:color w:val="000000"/>
                <w:sz w:val="22"/>
              </w:rPr>
              <w:t>Invoiced Diversions</w:t>
            </w:r>
          </w:p>
          <w:p w14:paraId="05BD7114" w14:textId="3EA0168C" w:rsidR="000D5A26" w:rsidRPr="00CD354B" w:rsidRDefault="000D5A26" w:rsidP="000D5A26">
            <w:pPr>
              <w:jc w:val="center"/>
              <w:rPr>
                <w:b/>
                <w:bCs/>
                <w:color w:val="000000"/>
                <w:sz w:val="22"/>
              </w:rPr>
            </w:pPr>
            <w:r w:rsidRPr="00CD354B">
              <w:rPr>
                <w:b/>
                <w:bCs/>
                <w:color w:val="000000"/>
                <w:sz w:val="22"/>
              </w:rPr>
              <w:t>(AF)</w:t>
            </w:r>
          </w:p>
        </w:tc>
        <w:tc>
          <w:tcPr>
            <w:tcW w:w="1349" w:type="dxa"/>
            <w:tcBorders>
              <w:top w:val="single" w:sz="4" w:space="0" w:color="auto"/>
              <w:left w:val="single" w:sz="4" w:space="0" w:color="auto"/>
              <w:bottom w:val="single" w:sz="4" w:space="0" w:color="auto"/>
              <w:right w:val="single" w:sz="4" w:space="0" w:color="auto"/>
            </w:tcBorders>
            <w:shd w:val="clear" w:color="auto" w:fill="C2D69B" w:themeFill="accent3" w:themeFillTint="99"/>
            <w:vAlign w:val="bottom"/>
            <w:hideMark/>
          </w:tcPr>
          <w:p w14:paraId="47AABF29" w14:textId="3282A5AF" w:rsidR="000D5A26" w:rsidRPr="00CD354B" w:rsidRDefault="00EF5742" w:rsidP="000D5A26">
            <w:pPr>
              <w:jc w:val="center"/>
              <w:rPr>
                <w:b/>
                <w:bCs/>
                <w:color w:val="000000"/>
                <w:sz w:val="22"/>
              </w:rPr>
            </w:pPr>
            <w:r>
              <w:rPr>
                <w:b/>
                <w:bCs/>
                <w:color w:val="000000"/>
                <w:sz w:val="22"/>
              </w:rPr>
              <w:t xml:space="preserve">Volume </w:t>
            </w:r>
            <w:r w:rsidR="000D5A26" w:rsidRPr="00CD354B">
              <w:rPr>
                <w:b/>
                <w:bCs/>
                <w:color w:val="000000"/>
                <w:sz w:val="22"/>
              </w:rPr>
              <w:t>Recharged</w:t>
            </w:r>
          </w:p>
          <w:p w14:paraId="7C746B52" w14:textId="44A1C805" w:rsidR="000D5A26" w:rsidRPr="00CD354B" w:rsidRDefault="000D5A26" w:rsidP="000D5A26">
            <w:pPr>
              <w:jc w:val="center"/>
              <w:rPr>
                <w:b/>
                <w:bCs/>
                <w:color w:val="000000"/>
                <w:sz w:val="22"/>
              </w:rPr>
            </w:pPr>
            <w:r w:rsidRPr="00CD354B">
              <w:rPr>
                <w:b/>
                <w:bCs/>
                <w:color w:val="000000"/>
                <w:sz w:val="22"/>
              </w:rPr>
              <w:t>(AF)</w:t>
            </w:r>
          </w:p>
        </w:tc>
        <w:tc>
          <w:tcPr>
            <w:tcW w:w="1350" w:type="dxa"/>
            <w:tcBorders>
              <w:top w:val="single" w:sz="4" w:space="0" w:color="auto"/>
              <w:left w:val="nil"/>
              <w:bottom w:val="single" w:sz="4" w:space="0" w:color="auto"/>
              <w:right w:val="single" w:sz="4" w:space="0" w:color="auto"/>
            </w:tcBorders>
            <w:shd w:val="clear" w:color="auto" w:fill="C2D69B" w:themeFill="accent3" w:themeFillTint="99"/>
            <w:vAlign w:val="bottom"/>
            <w:hideMark/>
          </w:tcPr>
          <w:p w14:paraId="19462A6B" w14:textId="7A0CC4A1" w:rsidR="000D5A26" w:rsidRPr="00CD354B" w:rsidRDefault="000D5A26" w:rsidP="000D5A26">
            <w:pPr>
              <w:jc w:val="center"/>
              <w:rPr>
                <w:b/>
                <w:bCs/>
                <w:color w:val="000000"/>
                <w:sz w:val="22"/>
              </w:rPr>
            </w:pPr>
            <w:r w:rsidRPr="00CD354B">
              <w:rPr>
                <w:b/>
                <w:bCs/>
                <w:color w:val="000000"/>
                <w:sz w:val="22"/>
              </w:rPr>
              <w:t>Cook Well Pumping</w:t>
            </w:r>
            <w:r w:rsidRPr="00CD354B">
              <w:rPr>
                <w:b/>
                <w:bCs/>
                <w:color w:val="000000"/>
                <w:sz w:val="22"/>
              </w:rPr>
              <w:br/>
              <w:t>(AF)</w:t>
            </w:r>
          </w:p>
        </w:tc>
        <w:tc>
          <w:tcPr>
            <w:tcW w:w="1349" w:type="dxa"/>
            <w:tcBorders>
              <w:top w:val="single" w:sz="4" w:space="0" w:color="auto"/>
              <w:left w:val="nil"/>
              <w:bottom w:val="single" w:sz="4" w:space="0" w:color="auto"/>
              <w:right w:val="single" w:sz="4" w:space="0" w:color="auto"/>
            </w:tcBorders>
            <w:shd w:val="clear" w:color="auto" w:fill="C2D69B" w:themeFill="accent3" w:themeFillTint="99"/>
            <w:vAlign w:val="bottom"/>
            <w:hideMark/>
          </w:tcPr>
          <w:p w14:paraId="33D607A4" w14:textId="56E04627" w:rsidR="000D5A26" w:rsidRPr="00CD354B" w:rsidRDefault="000D5A26" w:rsidP="000D5A26">
            <w:pPr>
              <w:jc w:val="center"/>
              <w:rPr>
                <w:b/>
                <w:bCs/>
                <w:color w:val="000000"/>
                <w:sz w:val="22"/>
              </w:rPr>
            </w:pPr>
            <w:r w:rsidRPr="00CD354B">
              <w:rPr>
                <w:b/>
                <w:bCs/>
                <w:color w:val="000000"/>
                <w:sz w:val="22"/>
              </w:rPr>
              <w:t>Lagged Accretions</w:t>
            </w:r>
            <w:r w:rsidR="00EF5742">
              <w:rPr>
                <w:b/>
                <w:bCs/>
                <w:color w:val="000000"/>
                <w:sz w:val="22"/>
              </w:rPr>
              <w:t xml:space="preserve"> at the River</w:t>
            </w:r>
            <w:r w:rsidRPr="00CD354B">
              <w:rPr>
                <w:b/>
                <w:bCs/>
                <w:color w:val="000000"/>
                <w:sz w:val="22"/>
              </w:rPr>
              <w:t xml:space="preserve"> </w:t>
            </w:r>
            <w:r w:rsidRPr="00CD354B">
              <w:rPr>
                <w:b/>
                <w:bCs/>
                <w:color w:val="000000"/>
                <w:sz w:val="22"/>
              </w:rPr>
              <w:br/>
              <w:t>(AF)</w:t>
            </w:r>
          </w:p>
        </w:tc>
        <w:tc>
          <w:tcPr>
            <w:tcW w:w="1349" w:type="dxa"/>
            <w:tcBorders>
              <w:top w:val="single" w:sz="4" w:space="0" w:color="auto"/>
              <w:left w:val="nil"/>
              <w:bottom w:val="single" w:sz="4" w:space="0" w:color="auto"/>
              <w:right w:val="single" w:sz="4" w:space="0" w:color="auto"/>
            </w:tcBorders>
            <w:shd w:val="clear" w:color="auto" w:fill="C2D69B" w:themeFill="accent3" w:themeFillTint="99"/>
            <w:vAlign w:val="bottom"/>
            <w:hideMark/>
          </w:tcPr>
          <w:p w14:paraId="34EFDDF8" w14:textId="530DCD9C" w:rsidR="000D5A26" w:rsidRPr="00CD354B" w:rsidRDefault="0002179A" w:rsidP="000D5A26">
            <w:pPr>
              <w:jc w:val="center"/>
              <w:rPr>
                <w:b/>
                <w:bCs/>
                <w:color w:val="000000"/>
                <w:sz w:val="22"/>
              </w:rPr>
            </w:pPr>
            <w:r>
              <w:rPr>
                <w:b/>
                <w:bCs/>
                <w:color w:val="000000"/>
                <w:sz w:val="22"/>
              </w:rPr>
              <w:t>Accretions</w:t>
            </w:r>
            <w:r w:rsidR="000D5A26" w:rsidRPr="00CD354B">
              <w:rPr>
                <w:b/>
                <w:bCs/>
                <w:color w:val="000000"/>
                <w:sz w:val="22"/>
              </w:rPr>
              <w:t xml:space="preserve"> </w:t>
            </w:r>
            <w:r>
              <w:rPr>
                <w:b/>
                <w:bCs/>
                <w:color w:val="000000"/>
                <w:sz w:val="22"/>
              </w:rPr>
              <w:t>Reaching</w:t>
            </w:r>
            <w:r w:rsidR="000D5A26" w:rsidRPr="00CD354B">
              <w:rPr>
                <w:b/>
                <w:bCs/>
                <w:color w:val="000000"/>
                <w:sz w:val="22"/>
              </w:rPr>
              <w:t xml:space="preserve"> Grand Island</w:t>
            </w:r>
            <w:r w:rsidR="000D5A26" w:rsidRPr="00CD354B">
              <w:rPr>
                <w:b/>
                <w:bCs/>
                <w:color w:val="000000"/>
                <w:sz w:val="22"/>
              </w:rPr>
              <w:br/>
              <w:t>(AF)</w:t>
            </w:r>
          </w:p>
        </w:tc>
        <w:tc>
          <w:tcPr>
            <w:tcW w:w="1350" w:type="dxa"/>
            <w:tcBorders>
              <w:top w:val="single" w:sz="4" w:space="0" w:color="auto"/>
              <w:left w:val="nil"/>
              <w:bottom w:val="single" w:sz="4" w:space="0" w:color="auto"/>
              <w:right w:val="single" w:sz="4" w:space="0" w:color="auto"/>
            </w:tcBorders>
            <w:shd w:val="clear" w:color="auto" w:fill="C2D69B" w:themeFill="accent3" w:themeFillTint="99"/>
            <w:vAlign w:val="bottom"/>
            <w:hideMark/>
          </w:tcPr>
          <w:p w14:paraId="71234031" w14:textId="5395C4D2" w:rsidR="000D5A26" w:rsidRPr="00CD354B" w:rsidRDefault="00D27A1E" w:rsidP="000D5A26">
            <w:pPr>
              <w:jc w:val="center"/>
              <w:rPr>
                <w:b/>
                <w:bCs/>
                <w:color w:val="000000"/>
                <w:sz w:val="22"/>
              </w:rPr>
            </w:pPr>
            <w:r>
              <w:rPr>
                <w:b/>
                <w:bCs/>
                <w:color w:val="000000"/>
                <w:sz w:val="22"/>
              </w:rPr>
              <w:t>Reductions to Target Flow Deficits</w:t>
            </w:r>
            <w:r w:rsidR="000D5A26" w:rsidRPr="00CD354B">
              <w:rPr>
                <w:b/>
                <w:bCs/>
                <w:color w:val="000000"/>
                <w:sz w:val="22"/>
              </w:rPr>
              <w:br/>
              <w:t>(AF)</w:t>
            </w:r>
          </w:p>
        </w:tc>
      </w:tr>
      <w:tr w:rsidR="008C0CFF" w:rsidRPr="0039677D" w14:paraId="63392A70" w14:textId="77777777" w:rsidTr="00BD24CE">
        <w:trPr>
          <w:trHeight w:val="288"/>
        </w:trPr>
        <w:tc>
          <w:tcPr>
            <w:tcW w:w="1349" w:type="dxa"/>
            <w:tcBorders>
              <w:top w:val="nil"/>
              <w:left w:val="single" w:sz="4" w:space="0" w:color="auto"/>
              <w:bottom w:val="single" w:sz="4" w:space="0" w:color="auto"/>
              <w:right w:val="single" w:sz="4" w:space="0" w:color="auto"/>
            </w:tcBorders>
            <w:shd w:val="clear" w:color="auto" w:fill="auto"/>
            <w:noWrap/>
            <w:vAlign w:val="center"/>
          </w:tcPr>
          <w:p w14:paraId="2D171F55" w14:textId="0D8549DA" w:rsidR="008C0CFF" w:rsidRPr="00BE1863" w:rsidRDefault="008C0CFF" w:rsidP="008C0CFF">
            <w:pPr>
              <w:jc w:val="center"/>
              <w:rPr>
                <w:color w:val="000000"/>
                <w:sz w:val="22"/>
              </w:rPr>
            </w:pPr>
            <w:r w:rsidRPr="00BE1863">
              <w:rPr>
                <w:color w:val="000000"/>
                <w:sz w:val="22"/>
              </w:rPr>
              <w:t>2011</w:t>
            </w:r>
          </w:p>
        </w:tc>
        <w:tc>
          <w:tcPr>
            <w:tcW w:w="1349" w:type="dxa"/>
            <w:tcBorders>
              <w:top w:val="single" w:sz="4" w:space="0" w:color="auto"/>
              <w:left w:val="nil"/>
              <w:bottom w:val="single" w:sz="4" w:space="0" w:color="auto"/>
              <w:right w:val="single" w:sz="4" w:space="0" w:color="auto"/>
            </w:tcBorders>
            <w:vAlign w:val="center"/>
          </w:tcPr>
          <w:p w14:paraId="6B19CC3B" w14:textId="733EE982" w:rsidR="008C0CFF" w:rsidRPr="008C0CFF" w:rsidRDefault="008C0CFF" w:rsidP="008C0CFF">
            <w:pPr>
              <w:jc w:val="center"/>
              <w:rPr>
                <w:color w:val="000000"/>
                <w:sz w:val="22"/>
              </w:rPr>
            </w:pPr>
            <w:r w:rsidRPr="008C0CFF">
              <w:rPr>
                <w:color w:val="000000"/>
                <w:sz w:val="22"/>
              </w:rPr>
              <w:t>2,709</w:t>
            </w:r>
          </w:p>
        </w:tc>
        <w:tc>
          <w:tcPr>
            <w:tcW w:w="1349" w:type="dxa"/>
            <w:tcBorders>
              <w:top w:val="nil"/>
              <w:left w:val="single" w:sz="4" w:space="0" w:color="auto"/>
              <w:bottom w:val="single" w:sz="4" w:space="0" w:color="auto"/>
              <w:right w:val="single" w:sz="4" w:space="0" w:color="auto"/>
            </w:tcBorders>
            <w:shd w:val="clear" w:color="auto" w:fill="auto"/>
            <w:noWrap/>
            <w:vAlign w:val="center"/>
          </w:tcPr>
          <w:p w14:paraId="57BCD0CB" w14:textId="09AABAEC" w:rsidR="008C0CFF" w:rsidRPr="008C0CFF" w:rsidRDefault="008C0CFF" w:rsidP="008C0CFF">
            <w:pPr>
              <w:jc w:val="center"/>
              <w:rPr>
                <w:color w:val="000000"/>
                <w:sz w:val="22"/>
              </w:rPr>
            </w:pPr>
            <w:r w:rsidRPr="008C0CFF">
              <w:rPr>
                <w:color w:val="000000"/>
                <w:sz w:val="22"/>
              </w:rPr>
              <w:t>3,200</w:t>
            </w:r>
          </w:p>
        </w:tc>
        <w:tc>
          <w:tcPr>
            <w:tcW w:w="1350" w:type="dxa"/>
            <w:tcBorders>
              <w:top w:val="nil"/>
              <w:left w:val="nil"/>
              <w:bottom w:val="single" w:sz="4" w:space="0" w:color="auto"/>
              <w:right w:val="single" w:sz="4" w:space="0" w:color="auto"/>
            </w:tcBorders>
            <w:shd w:val="clear" w:color="auto" w:fill="auto"/>
            <w:noWrap/>
            <w:vAlign w:val="center"/>
          </w:tcPr>
          <w:p w14:paraId="01A2E22D" w14:textId="05864AC5" w:rsidR="008C0CFF" w:rsidRPr="008C0CFF" w:rsidRDefault="008C0CFF" w:rsidP="008C0CFF">
            <w:pPr>
              <w:jc w:val="center"/>
              <w:rPr>
                <w:color w:val="000000"/>
                <w:sz w:val="22"/>
              </w:rPr>
            </w:pPr>
            <w:r w:rsidRPr="008C0CFF">
              <w:rPr>
                <w:color w:val="000000"/>
                <w:sz w:val="22"/>
              </w:rPr>
              <w:t>0</w:t>
            </w:r>
          </w:p>
        </w:tc>
        <w:tc>
          <w:tcPr>
            <w:tcW w:w="1349" w:type="dxa"/>
            <w:tcBorders>
              <w:top w:val="nil"/>
              <w:left w:val="nil"/>
              <w:bottom w:val="single" w:sz="4" w:space="0" w:color="auto"/>
              <w:right w:val="single" w:sz="4" w:space="0" w:color="auto"/>
            </w:tcBorders>
            <w:shd w:val="clear" w:color="auto" w:fill="auto"/>
            <w:noWrap/>
            <w:vAlign w:val="center"/>
          </w:tcPr>
          <w:p w14:paraId="60CB9770" w14:textId="6D271B19" w:rsidR="008C0CFF" w:rsidRPr="008C0CFF" w:rsidRDefault="008C0CFF" w:rsidP="008C0CFF">
            <w:pPr>
              <w:jc w:val="center"/>
              <w:rPr>
                <w:color w:val="000000"/>
                <w:sz w:val="22"/>
              </w:rPr>
            </w:pPr>
            <w:r w:rsidRPr="008C0CFF">
              <w:rPr>
                <w:color w:val="000000"/>
                <w:sz w:val="22"/>
              </w:rPr>
              <w:t>360</w:t>
            </w:r>
          </w:p>
        </w:tc>
        <w:tc>
          <w:tcPr>
            <w:tcW w:w="1349" w:type="dxa"/>
            <w:tcBorders>
              <w:top w:val="nil"/>
              <w:left w:val="nil"/>
              <w:bottom w:val="single" w:sz="4" w:space="0" w:color="auto"/>
              <w:right w:val="single" w:sz="4" w:space="0" w:color="auto"/>
            </w:tcBorders>
            <w:shd w:val="clear" w:color="auto" w:fill="auto"/>
            <w:noWrap/>
            <w:vAlign w:val="center"/>
          </w:tcPr>
          <w:p w14:paraId="7D7D7B47" w14:textId="23F0DADB" w:rsidR="008C0CFF" w:rsidRPr="008C0CFF" w:rsidRDefault="008C0CFF" w:rsidP="008C0CFF">
            <w:pPr>
              <w:jc w:val="center"/>
              <w:rPr>
                <w:color w:val="000000"/>
                <w:sz w:val="22"/>
              </w:rPr>
            </w:pPr>
            <w:r w:rsidRPr="008C0CFF">
              <w:rPr>
                <w:color w:val="000000"/>
                <w:sz w:val="22"/>
              </w:rPr>
              <w:t>300</w:t>
            </w:r>
          </w:p>
        </w:tc>
        <w:tc>
          <w:tcPr>
            <w:tcW w:w="1350" w:type="dxa"/>
            <w:tcBorders>
              <w:top w:val="nil"/>
              <w:left w:val="nil"/>
              <w:bottom w:val="single" w:sz="4" w:space="0" w:color="auto"/>
              <w:right w:val="single" w:sz="4" w:space="0" w:color="auto"/>
            </w:tcBorders>
            <w:shd w:val="clear" w:color="auto" w:fill="auto"/>
            <w:noWrap/>
            <w:vAlign w:val="center"/>
          </w:tcPr>
          <w:p w14:paraId="51EF450F" w14:textId="6D3730DC" w:rsidR="008C0CFF" w:rsidRPr="008C0CFF" w:rsidRDefault="008C0CFF" w:rsidP="008C0CFF">
            <w:pPr>
              <w:jc w:val="center"/>
              <w:rPr>
                <w:color w:val="000000"/>
                <w:sz w:val="22"/>
              </w:rPr>
            </w:pPr>
            <w:r w:rsidRPr="008C0CFF">
              <w:rPr>
                <w:color w:val="000000"/>
                <w:sz w:val="22"/>
              </w:rPr>
              <w:t>0</w:t>
            </w:r>
          </w:p>
        </w:tc>
      </w:tr>
      <w:tr w:rsidR="008C0CFF" w:rsidRPr="0039677D" w14:paraId="28F47803" w14:textId="77777777" w:rsidTr="00BD24CE">
        <w:trPr>
          <w:trHeight w:val="288"/>
        </w:trPr>
        <w:tc>
          <w:tcPr>
            <w:tcW w:w="1349" w:type="dxa"/>
            <w:tcBorders>
              <w:top w:val="nil"/>
              <w:left w:val="single" w:sz="4" w:space="0" w:color="auto"/>
              <w:bottom w:val="single" w:sz="4" w:space="0" w:color="auto"/>
              <w:right w:val="single" w:sz="4" w:space="0" w:color="auto"/>
            </w:tcBorders>
            <w:shd w:val="clear" w:color="auto" w:fill="auto"/>
            <w:noWrap/>
            <w:vAlign w:val="center"/>
            <w:hideMark/>
          </w:tcPr>
          <w:p w14:paraId="10E7161E" w14:textId="77777777" w:rsidR="008C0CFF" w:rsidRPr="00BE1863" w:rsidRDefault="008C0CFF" w:rsidP="008C0CFF">
            <w:pPr>
              <w:jc w:val="center"/>
              <w:rPr>
                <w:color w:val="000000"/>
                <w:sz w:val="22"/>
              </w:rPr>
            </w:pPr>
            <w:r w:rsidRPr="00BE1863">
              <w:rPr>
                <w:color w:val="000000"/>
                <w:sz w:val="22"/>
              </w:rPr>
              <w:t>2012</w:t>
            </w:r>
          </w:p>
        </w:tc>
        <w:tc>
          <w:tcPr>
            <w:tcW w:w="1349" w:type="dxa"/>
            <w:tcBorders>
              <w:top w:val="single" w:sz="4" w:space="0" w:color="auto"/>
              <w:left w:val="nil"/>
              <w:bottom w:val="single" w:sz="4" w:space="0" w:color="auto"/>
              <w:right w:val="single" w:sz="4" w:space="0" w:color="auto"/>
            </w:tcBorders>
            <w:vAlign w:val="center"/>
          </w:tcPr>
          <w:p w14:paraId="71A48B7E" w14:textId="1959E7D4" w:rsidR="008C0CFF" w:rsidRPr="008C0CFF" w:rsidRDefault="008C0CFF" w:rsidP="008C0CFF">
            <w:pPr>
              <w:jc w:val="center"/>
              <w:rPr>
                <w:color w:val="000000"/>
                <w:sz w:val="22"/>
              </w:rPr>
            </w:pPr>
            <w:r w:rsidRPr="008C0CFF">
              <w:rPr>
                <w:color w:val="000000"/>
                <w:sz w:val="22"/>
              </w:rPr>
              <w:t>1,685</w:t>
            </w:r>
          </w:p>
        </w:tc>
        <w:tc>
          <w:tcPr>
            <w:tcW w:w="1349" w:type="dxa"/>
            <w:tcBorders>
              <w:top w:val="nil"/>
              <w:left w:val="single" w:sz="4" w:space="0" w:color="auto"/>
              <w:bottom w:val="single" w:sz="4" w:space="0" w:color="auto"/>
              <w:right w:val="single" w:sz="4" w:space="0" w:color="auto"/>
            </w:tcBorders>
            <w:shd w:val="clear" w:color="auto" w:fill="auto"/>
            <w:noWrap/>
            <w:vAlign w:val="center"/>
          </w:tcPr>
          <w:p w14:paraId="0C4831E0" w14:textId="38157DF5" w:rsidR="008C0CFF" w:rsidRPr="008C0CFF" w:rsidRDefault="008C0CFF" w:rsidP="008C0CFF">
            <w:pPr>
              <w:jc w:val="center"/>
              <w:rPr>
                <w:color w:val="000000"/>
                <w:sz w:val="22"/>
              </w:rPr>
            </w:pPr>
            <w:r w:rsidRPr="008C0CFF">
              <w:rPr>
                <w:color w:val="000000"/>
                <w:sz w:val="22"/>
              </w:rPr>
              <w:t>1,900</w:t>
            </w:r>
          </w:p>
        </w:tc>
        <w:tc>
          <w:tcPr>
            <w:tcW w:w="1350" w:type="dxa"/>
            <w:tcBorders>
              <w:top w:val="nil"/>
              <w:left w:val="nil"/>
              <w:bottom w:val="single" w:sz="4" w:space="0" w:color="auto"/>
              <w:right w:val="single" w:sz="4" w:space="0" w:color="auto"/>
            </w:tcBorders>
            <w:shd w:val="clear" w:color="auto" w:fill="auto"/>
            <w:noWrap/>
            <w:vAlign w:val="center"/>
          </w:tcPr>
          <w:p w14:paraId="48AE21F6" w14:textId="00EA62D1" w:rsidR="008C0CFF" w:rsidRPr="008C0CFF" w:rsidRDefault="008C0CFF" w:rsidP="008C0CFF">
            <w:pPr>
              <w:jc w:val="center"/>
              <w:rPr>
                <w:color w:val="000000"/>
                <w:sz w:val="22"/>
                <w:highlight w:val="yellow"/>
              </w:rPr>
            </w:pPr>
            <w:r w:rsidRPr="008C0CFF">
              <w:rPr>
                <w:color w:val="000000"/>
                <w:sz w:val="22"/>
              </w:rPr>
              <w:t>0</w:t>
            </w:r>
          </w:p>
        </w:tc>
        <w:tc>
          <w:tcPr>
            <w:tcW w:w="1349" w:type="dxa"/>
            <w:tcBorders>
              <w:top w:val="nil"/>
              <w:left w:val="nil"/>
              <w:bottom w:val="single" w:sz="4" w:space="0" w:color="auto"/>
              <w:right w:val="single" w:sz="4" w:space="0" w:color="auto"/>
            </w:tcBorders>
            <w:shd w:val="clear" w:color="auto" w:fill="auto"/>
            <w:noWrap/>
            <w:vAlign w:val="center"/>
          </w:tcPr>
          <w:p w14:paraId="5B59AE10" w14:textId="63898078" w:rsidR="008C0CFF" w:rsidRPr="008C0CFF" w:rsidRDefault="008C0CFF" w:rsidP="008C0CFF">
            <w:pPr>
              <w:jc w:val="center"/>
              <w:rPr>
                <w:color w:val="000000"/>
                <w:sz w:val="22"/>
              </w:rPr>
            </w:pPr>
            <w:r w:rsidRPr="008C0CFF">
              <w:rPr>
                <w:color w:val="000000"/>
                <w:sz w:val="22"/>
              </w:rPr>
              <w:t>1,500</w:t>
            </w:r>
          </w:p>
        </w:tc>
        <w:tc>
          <w:tcPr>
            <w:tcW w:w="1349" w:type="dxa"/>
            <w:tcBorders>
              <w:top w:val="nil"/>
              <w:left w:val="nil"/>
              <w:bottom w:val="single" w:sz="4" w:space="0" w:color="auto"/>
              <w:right w:val="single" w:sz="4" w:space="0" w:color="auto"/>
            </w:tcBorders>
            <w:shd w:val="clear" w:color="auto" w:fill="auto"/>
            <w:noWrap/>
            <w:vAlign w:val="center"/>
          </w:tcPr>
          <w:p w14:paraId="1A777188" w14:textId="34FF6281" w:rsidR="008C0CFF" w:rsidRPr="008C0CFF" w:rsidRDefault="008C0CFF" w:rsidP="008C0CFF">
            <w:pPr>
              <w:jc w:val="center"/>
              <w:rPr>
                <w:color w:val="000000"/>
                <w:sz w:val="22"/>
              </w:rPr>
            </w:pPr>
            <w:r w:rsidRPr="008C0CFF">
              <w:rPr>
                <w:color w:val="000000"/>
                <w:sz w:val="22"/>
              </w:rPr>
              <w:t>1,200</w:t>
            </w:r>
          </w:p>
        </w:tc>
        <w:tc>
          <w:tcPr>
            <w:tcW w:w="1350" w:type="dxa"/>
            <w:tcBorders>
              <w:top w:val="nil"/>
              <w:left w:val="nil"/>
              <w:bottom w:val="single" w:sz="4" w:space="0" w:color="auto"/>
              <w:right w:val="single" w:sz="4" w:space="0" w:color="auto"/>
            </w:tcBorders>
            <w:shd w:val="clear" w:color="auto" w:fill="auto"/>
            <w:noWrap/>
            <w:vAlign w:val="center"/>
          </w:tcPr>
          <w:p w14:paraId="734B4073" w14:textId="00656BC5" w:rsidR="008C0CFF" w:rsidRPr="008C0CFF" w:rsidRDefault="008C0CFF" w:rsidP="008C0CFF">
            <w:pPr>
              <w:jc w:val="center"/>
              <w:rPr>
                <w:color w:val="000000"/>
                <w:sz w:val="22"/>
              </w:rPr>
            </w:pPr>
            <w:r w:rsidRPr="008C0CFF">
              <w:rPr>
                <w:color w:val="000000"/>
                <w:sz w:val="22"/>
              </w:rPr>
              <w:t>800</w:t>
            </w:r>
          </w:p>
        </w:tc>
      </w:tr>
      <w:tr w:rsidR="008C0CFF" w:rsidRPr="0039677D" w14:paraId="44AB8161" w14:textId="77777777" w:rsidTr="00BD24CE">
        <w:trPr>
          <w:trHeight w:val="288"/>
        </w:trPr>
        <w:tc>
          <w:tcPr>
            <w:tcW w:w="1349" w:type="dxa"/>
            <w:tcBorders>
              <w:top w:val="nil"/>
              <w:left w:val="single" w:sz="4" w:space="0" w:color="auto"/>
              <w:bottom w:val="single" w:sz="4" w:space="0" w:color="auto"/>
              <w:right w:val="single" w:sz="4" w:space="0" w:color="auto"/>
            </w:tcBorders>
            <w:shd w:val="clear" w:color="auto" w:fill="auto"/>
            <w:noWrap/>
            <w:vAlign w:val="center"/>
            <w:hideMark/>
          </w:tcPr>
          <w:p w14:paraId="45ACC4DC" w14:textId="77777777" w:rsidR="008C0CFF" w:rsidRPr="00BE1863" w:rsidRDefault="008C0CFF" w:rsidP="008C0CFF">
            <w:pPr>
              <w:jc w:val="center"/>
              <w:rPr>
                <w:color w:val="000000"/>
                <w:sz w:val="22"/>
              </w:rPr>
            </w:pPr>
            <w:r w:rsidRPr="00BE1863">
              <w:rPr>
                <w:color w:val="000000"/>
                <w:sz w:val="22"/>
              </w:rPr>
              <w:t>2013</w:t>
            </w:r>
          </w:p>
        </w:tc>
        <w:tc>
          <w:tcPr>
            <w:tcW w:w="1349" w:type="dxa"/>
            <w:tcBorders>
              <w:top w:val="single" w:sz="4" w:space="0" w:color="auto"/>
              <w:left w:val="nil"/>
              <w:bottom w:val="single" w:sz="4" w:space="0" w:color="auto"/>
              <w:right w:val="single" w:sz="4" w:space="0" w:color="auto"/>
            </w:tcBorders>
            <w:vAlign w:val="center"/>
          </w:tcPr>
          <w:p w14:paraId="1BEBBDE9" w14:textId="3FA3F064" w:rsidR="008C0CFF" w:rsidRPr="008C0CFF" w:rsidRDefault="008C0CFF" w:rsidP="008C0CFF">
            <w:pPr>
              <w:jc w:val="center"/>
              <w:rPr>
                <w:color w:val="000000"/>
                <w:sz w:val="22"/>
              </w:rPr>
            </w:pPr>
            <w:r w:rsidRPr="008C0CFF">
              <w:rPr>
                <w:color w:val="000000"/>
                <w:sz w:val="22"/>
              </w:rPr>
              <w:t>4,418</w:t>
            </w:r>
          </w:p>
        </w:tc>
        <w:tc>
          <w:tcPr>
            <w:tcW w:w="1349" w:type="dxa"/>
            <w:tcBorders>
              <w:top w:val="nil"/>
              <w:left w:val="single" w:sz="4" w:space="0" w:color="auto"/>
              <w:bottom w:val="single" w:sz="4" w:space="0" w:color="auto"/>
              <w:right w:val="single" w:sz="4" w:space="0" w:color="auto"/>
            </w:tcBorders>
            <w:shd w:val="clear" w:color="auto" w:fill="auto"/>
            <w:noWrap/>
            <w:vAlign w:val="center"/>
          </w:tcPr>
          <w:p w14:paraId="1009077D" w14:textId="2337EFB0" w:rsidR="008C0CFF" w:rsidRPr="008C0CFF" w:rsidRDefault="008C0CFF" w:rsidP="008C0CFF">
            <w:pPr>
              <w:jc w:val="center"/>
              <w:rPr>
                <w:color w:val="000000"/>
                <w:sz w:val="22"/>
              </w:rPr>
            </w:pPr>
            <w:r w:rsidRPr="008C0CFF">
              <w:rPr>
                <w:color w:val="000000"/>
                <w:sz w:val="22"/>
              </w:rPr>
              <w:t>5,000</w:t>
            </w:r>
          </w:p>
        </w:tc>
        <w:tc>
          <w:tcPr>
            <w:tcW w:w="1350" w:type="dxa"/>
            <w:tcBorders>
              <w:top w:val="nil"/>
              <w:left w:val="nil"/>
              <w:bottom w:val="single" w:sz="4" w:space="0" w:color="auto"/>
              <w:right w:val="single" w:sz="4" w:space="0" w:color="auto"/>
            </w:tcBorders>
            <w:shd w:val="clear" w:color="auto" w:fill="auto"/>
            <w:noWrap/>
            <w:vAlign w:val="center"/>
          </w:tcPr>
          <w:p w14:paraId="4570F88A" w14:textId="09D452CB" w:rsidR="008C0CFF" w:rsidRPr="008C0CFF" w:rsidRDefault="008C0CFF" w:rsidP="008C0CFF">
            <w:pPr>
              <w:jc w:val="center"/>
              <w:rPr>
                <w:color w:val="000000"/>
                <w:sz w:val="22"/>
                <w:highlight w:val="yellow"/>
              </w:rPr>
            </w:pPr>
            <w:r w:rsidRPr="008C0CFF">
              <w:rPr>
                <w:color w:val="000000"/>
                <w:sz w:val="22"/>
              </w:rPr>
              <w:t>0</w:t>
            </w:r>
          </w:p>
        </w:tc>
        <w:tc>
          <w:tcPr>
            <w:tcW w:w="1349" w:type="dxa"/>
            <w:tcBorders>
              <w:top w:val="nil"/>
              <w:left w:val="nil"/>
              <w:bottom w:val="single" w:sz="4" w:space="0" w:color="auto"/>
              <w:right w:val="single" w:sz="4" w:space="0" w:color="auto"/>
            </w:tcBorders>
            <w:shd w:val="clear" w:color="auto" w:fill="auto"/>
            <w:noWrap/>
            <w:vAlign w:val="center"/>
          </w:tcPr>
          <w:p w14:paraId="19FB8D78" w14:textId="07C5D3CE" w:rsidR="008C0CFF" w:rsidRPr="008C0CFF" w:rsidRDefault="008C0CFF" w:rsidP="008C0CFF">
            <w:pPr>
              <w:jc w:val="center"/>
              <w:rPr>
                <w:color w:val="000000"/>
                <w:sz w:val="22"/>
              </w:rPr>
            </w:pPr>
            <w:r w:rsidRPr="008C0CFF">
              <w:rPr>
                <w:color w:val="000000"/>
                <w:sz w:val="22"/>
              </w:rPr>
              <w:t>3,200</w:t>
            </w:r>
          </w:p>
        </w:tc>
        <w:tc>
          <w:tcPr>
            <w:tcW w:w="1349" w:type="dxa"/>
            <w:tcBorders>
              <w:top w:val="nil"/>
              <w:left w:val="nil"/>
              <w:bottom w:val="single" w:sz="4" w:space="0" w:color="auto"/>
              <w:right w:val="single" w:sz="4" w:space="0" w:color="auto"/>
            </w:tcBorders>
            <w:shd w:val="clear" w:color="auto" w:fill="auto"/>
            <w:noWrap/>
            <w:vAlign w:val="center"/>
          </w:tcPr>
          <w:p w14:paraId="626EE512" w14:textId="04063702" w:rsidR="008C0CFF" w:rsidRPr="008C0CFF" w:rsidRDefault="008C0CFF" w:rsidP="008C0CFF">
            <w:pPr>
              <w:jc w:val="center"/>
              <w:rPr>
                <w:color w:val="000000"/>
                <w:sz w:val="22"/>
              </w:rPr>
            </w:pPr>
            <w:r w:rsidRPr="008C0CFF">
              <w:rPr>
                <w:color w:val="000000"/>
                <w:sz w:val="22"/>
              </w:rPr>
              <w:t>2,500</w:t>
            </w:r>
          </w:p>
        </w:tc>
        <w:tc>
          <w:tcPr>
            <w:tcW w:w="1350" w:type="dxa"/>
            <w:tcBorders>
              <w:top w:val="nil"/>
              <w:left w:val="nil"/>
              <w:bottom w:val="single" w:sz="4" w:space="0" w:color="auto"/>
              <w:right w:val="single" w:sz="4" w:space="0" w:color="auto"/>
            </w:tcBorders>
            <w:shd w:val="clear" w:color="auto" w:fill="auto"/>
            <w:noWrap/>
            <w:vAlign w:val="center"/>
          </w:tcPr>
          <w:p w14:paraId="5356D162" w14:textId="25412BF4" w:rsidR="008C0CFF" w:rsidRPr="008C0CFF" w:rsidRDefault="008C0CFF" w:rsidP="008C0CFF">
            <w:pPr>
              <w:jc w:val="center"/>
              <w:rPr>
                <w:color w:val="000000"/>
                <w:sz w:val="22"/>
              </w:rPr>
            </w:pPr>
            <w:r w:rsidRPr="008C0CFF">
              <w:rPr>
                <w:color w:val="000000"/>
                <w:sz w:val="22"/>
              </w:rPr>
              <w:t>1,800</w:t>
            </w:r>
          </w:p>
        </w:tc>
      </w:tr>
      <w:tr w:rsidR="008C0CFF" w:rsidRPr="0039677D" w14:paraId="7A8290B2" w14:textId="77777777" w:rsidTr="00BD24CE">
        <w:trPr>
          <w:trHeight w:val="288"/>
        </w:trPr>
        <w:tc>
          <w:tcPr>
            <w:tcW w:w="1349" w:type="dxa"/>
            <w:tcBorders>
              <w:top w:val="nil"/>
              <w:left w:val="single" w:sz="4" w:space="0" w:color="auto"/>
              <w:bottom w:val="single" w:sz="4" w:space="0" w:color="auto"/>
              <w:right w:val="single" w:sz="4" w:space="0" w:color="auto"/>
            </w:tcBorders>
            <w:shd w:val="clear" w:color="auto" w:fill="auto"/>
            <w:noWrap/>
            <w:vAlign w:val="center"/>
            <w:hideMark/>
          </w:tcPr>
          <w:p w14:paraId="028F4BD8" w14:textId="77777777" w:rsidR="008C0CFF" w:rsidRPr="00BE1863" w:rsidRDefault="008C0CFF" w:rsidP="008C0CFF">
            <w:pPr>
              <w:jc w:val="center"/>
              <w:rPr>
                <w:color w:val="000000"/>
                <w:sz w:val="22"/>
              </w:rPr>
            </w:pPr>
            <w:r w:rsidRPr="00BE1863">
              <w:rPr>
                <w:color w:val="000000"/>
                <w:sz w:val="22"/>
              </w:rPr>
              <w:t>2014</w:t>
            </w:r>
          </w:p>
        </w:tc>
        <w:tc>
          <w:tcPr>
            <w:tcW w:w="1349" w:type="dxa"/>
            <w:tcBorders>
              <w:top w:val="single" w:sz="4" w:space="0" w:color="auto"/>
              <w:left w:val="nil"/>
              <w:bottom w:val="single" w:sz="4" w:space="0" w:color="auto"/>
              <w:right w:val="single" w:sz="4" w:space="0" w:color="auto"/>
            </w:tcBorders>
            <w:vAlign w:val="center"/>
          </w:tcPr>
          <w:p w14:paraId="08F34519" w14:textId="3FC4B2E1" w:rsidR="008C0CFF" w:rsidRPr="008C0CFF" w:rsidRDefault="008C0CFF" w:rsidP="008C0CFF">
            <w:pPr>
              <w:jc w:val="center"/>
              <w:rPr>
                <w:color w:val="000000"/>
                <w:sz w:val="22"/>
              </w:rPr>
            </w:pPr>
            <w:r w:rsidRPr="008C0CFF">
              <w:rPr>
                <w:color w:val="000000"/>
                <w:sz w:val="22"/>
              </w:rPr>
              <w:t>1,173</w:t>
            </w:r>
          </w:p>
        </w:tc>
        <w:tc>
          <w:tcPr>
            <w:tcW w:w="1349" w:type="dxa"/>
            <w:tcBorders>
              <w:top w:val="nil"/>
              <w:left w:val="single" w:sz="4" w:space="0" w:color="auto"/>
              <w:bottom w:val="single" w:sz="4" w:space="0" w:color="auto"/>
              <w:right w:val="single" w:sz="4" w:space="0" w:color="auto"/>
            </w:tcBorders>
            <w:shd w:val="clear" w:color="auto" w:fill="auto"/>
            <w:noWrap/>
            <w:vAlign w:val="center"/>
          </w:tcPr>
          <w:p w14:paraId="4E5D5CA2" w14:textId="7A483BA0" w:rsidR="008C0CFF" w:rsidRPr="008C0CFF" w:rsidRDefault="008C0CFF" w:rsidP="008C0CFF">
            <w:pPr>
              <w:jc w:val="center"/>
              <w:rPr>
                <w:color w:val="000000"/>
                <w:sz w:val="22"/>
              </w:rPr>
            </w:pPr>
            <w:r w:rsidRPr="008C0CFF">
              <w:rPr>
                <w:color w:val="000000"/>
                <w:sz w:val="22"/>
              </w:rPr>
              <w:t>1,300</w:t>
            </w:r>
          </w:p>
        </w:tc>
        <w:tc>
          <w:tcPr>
            <w:tcW w:w="1350" w:type="dxa"/>
            <w:tcBorders>
              <w:top w:val="nil"/>
              <w:left w:val="nil"/>
              <w:bottom w:val="single" w:sz="4" w:space="0" w:color="auto"/>
              <w:right w:val="single" w:sz="4" w:space="0" w:color="auto"/>
            </w:tcBorders>
            <w:shd w:val="clear" w:color="auto" w:fill="auto"/>
            <w:noWrap/>
            <w:vAlign w:val="center"/>
          </w:tcPr>
          <w:p w14:paraId="6EB79169" w14:textId="4F9910E2" w:rsidR="008C0CFF" w:rsidRPr="008C0CFF" w:rsidRDefault="008C0CFF" w:rsidP="008C0CFF">
            <w:pPr>
              <w:jc w:val="center"/>
              <w:rPr>
                <w:color w:val="000000"/>
                <w:sz w:val="22"/>
                <w:highlight w:val="yellow"/>
              </w:rPr>
            </w:pPr>
            <w:r w:rsidRPr="008C0CFF">
              <w:rPr>
                <w:color w:val="000000"/>
                <w:sz w:val="22"/>
              </w:rPr>
              <w:t>0</w:t>
            </w:r>
          </w:p>
        </w:tc>
        <w:tc>
          <w:tcPr>
            <w:tcW w:w="1349" w:type="dxa"/>
            <w:tcBorders>
              <w:top w:val="nil"/>
              <w:left w:val="nil"/>
              <w:bottom w:val="single" w:sz="4" w:space="0" w:color="auto"/>
              <w:right w:val="single" w:sz="4" w:space="0" w:color="auto"/>
            </w:tcBorders>
            <w:shd w:val="clear" w:color="auto" w:fill="auto"/>
            <w:noWrap/>
            <w:vAlign w:val="center"/>
          </w:tcPr>
          <w:p w14:paraId="135262D5" w14:textId="5B568E74" w:rsidR="008C0CFF" w:rsidRPr="008C0CFF" w:rsidRDefault="008C0CFF" w:rsidP="008C0CFF">
            <w:pPr>
              <w:jc w:val="center"/>
              <w:rPr>
                <w:color w:val="000000"/>
                <w:sz w:val="22"/>
              </w:rPr>
            </w:pPr>
            <w:r w:rsidRPr="008C0CFF">
              <w:rPr>
                <w:color w:val="000000"/>
                <w:sz w:val="22"/>
              </w:rPr>
              <w:t>1,600</w:t>
            </w:r>
          </w:p>
        </w:tc>
        <w:tc>
          <w:tcPr>
            <w:tcW w:w="1349" w:type="dxa"/>
            <w:tcBorders>
              <w:top w:val="nil"/>
              <w:left w:val="nil"/>
              <w:bottom w:val="single" w:sz="4" w:space="0" w:color="auto"/>
              <w:right w:val="single" w:sz="4" w:space="0" w:color="auto"/>
            </w:tcBorders>
            <w:shd w:val="clear" w:color="auto" w:fill="auto"/>
            <w:noWrap/>
            <w:vAlign w:val="center"/>
          </w:tcPr>
          <w:p w14:paraId="5AA63841" w14:textId="02F4ADC3" w:rsidR="008C0CFF" w:rsidRPr="008C0CFF" w:rsidRDefault="008C0CFF" w:rsidP="008C0CFF">
            <w:pPr>
              <w:jc w:val="center"/>
              <w:rPr>
                <w:color w:val="000000"/>
                <w:sz w:val="22"/>
              </w:rPr>
            </w:pPr>
            <w:r w:rsidRPr="008C0CFF">
              <w:rPr>
                <w:color w:val="000000"/>
                <w:sz w:val="22"/>
              </w:rPr>
              <w:t>1,400</w:t>
            </w:r>
          </w:p>
        </w:tc>
        <w:tc>
          <w:tcPr>
            <w:tcW w:w="1350" w:type="dxa"/>
            <w:tcBorders>
              <w:top w:val="nil"/>
              <w:left w:val="nil"/>
              <w:bottom w:val="single" w:sz="4" w:space="0" w:color="auto"/>
              <w:right w:val="single" w:sz="4" w:space="0" w:color="auto"/>
            </w:tcBorders>
            <w:shd w:val="clear" w:color="auto" w:fill="auto"/>
            <w:noWrap/>
            <w:vAlign w:val="center"/>
          </w:tcPr>
          <w:p w14:paraId="35C8FC44" w14:textId="3CCB939B" w:rsidR="008C0CFF" w:rsidRPr="008C0CFF" w:rsidRDefault="008C0CFF" w:rsidP="008C0CFF">
            <w:pPr>
              <w:jc w:val="center"/>
              <w:rPr>
                <w:color w:val="000000"/>
                <w:sz w:val="22"/>
              </w:rPr>
            </w:pPr>
            <w:r w:rsidRPr="008C0CFF">
              <w:rPr>
                <w:color w:val="000000"/>
                <w:sz w:val="22"/>
              </w:rPr>
              <w:t>1,000</w:t>
            </w:r>
          </w:p>
        </w:tc>
      </w:tr>
      <w:tr w:rsidR="008C0CFF" w:rsidRPr="0039677D" w14:paraId="6375932C" w14:textId="77777777" w:rsidTr="00BD24CE">
        <w:trPr>
          <w:trHeight w:val="288"/>
        </w:trPr>
        <w:tc>
          <w:tcPr>
            <w:tcW w:w="1349" w:type="dxa"/>
            <w:tcBorders>
              <w:top w:val="nil"/>
              <w:left w:val="single" w:sz="4" w:space="0" w:color="auto"/>
              <w:bottom w:val="single" w:sz="4" w:space="0" w:color="auto"/>
              <w:right w:val="single" w:sz="4" w:space="0" w:color="auto"/>
            </w:tcBorders>
            <w:shd w:val="clear" w:color="auto" w:fill="auto"/>
            <w:noWrap/>
            <w:vAlign w:val="center"/>
            <w:hideMark/>
          </w:tcPr>
          <w:p w14:paraId="7DF5EE40" w14:textId="77777777" w:rsidR="008C0CFF" w:rsidRPr="00BE1863" w:rsidRDefault="008C0CFF" w:rsidP="008C0CFF">
            <w:pPr>
              <w:jc w:val="center"/>
              <w:rPr>
                <w:color w:val="000000"/>
                <w:sz w:val="22"/>
              </w:rPr>
            </w:pPr>
            <w:r w:rsidRPr="00BE1863">
              <w:rPr>
                <w:color w:val="000000"/>
                <w:sz w:val="22"/>
              </w:rPr>
              <w:t>2015</w:t>
            </w:r>
          </w:p>
        </w:tc>
        <w:tc>
          <w:tcPr>
            <w:tcW w:w="1349" w:type="dxa"/>
            <w:tcBorders>
              <w:top w:val="single" w:sz="4" w:space="0" w:color="auto"/>
              <w:left w:val="nil"/>
              <w:bottom w:val="single" w:sz="4" w:space="0" w:color="auto"/>
              <w:right w:val="single" w:sz="4" w:space="0" w:color="auto"/>
            </w:tcBorders>
            <w:vAlign w:val="center"/>
          </w:tcPr>
          <w:p w14:paraId="7D2AB46B" w14:textId="07D0A37A" w:rsidR="008C0CFF" w:rsidRPr="008C0CFF" w:rsidRDefault="008C0CFF" w:rsidP="008C0CFF">
            <w:pPr>
              <w:jc w:val="center"/>
              <w:rPr>
                <w:color w:val="000000"/>
                <w:sz w:val="22"/>
              </w:rPr>
            </w:pPr>
            <w:r w:rsidRPr="008C0CFF">
              <w:rPr>
                <w:color w:val="000000"/>
                <w:sz w:val="22"/>
              </w:rPr>
              <w:t>3,613</w:t>
            </w:r>
          </w:p>
        </w:tc>
        <w:tc>
          <w:tcPr>
            <w:tcW w:w="1349" w:type="dxa"/>
            <w:tcBorders>
              <w:top w:val="nil"/>
              <w:left w:val="single" w:sz="4" w:space="0" w:color="auto"/>
              <w:bottom w:val="single" w:sz="4" w:space="0" w:color="auto"/>
              <w:right w:val="single" w:sz="4" w:space="0" w:color="auto"/>
            </w:tcBorders>
            <w:shd w:val="clear" w:color="auto" w:fill="auto"/>
            <w:noWrap/>
            <w:vAlign w:val="center"/>
          </w:tcPr>
          <w:p w14:paraId="5EC21B8A" w14:textId="59DDAADD" w:rsidR="008C0CFF" w:rsidRPr="008C0CFF" w:rsidRDefault="008C0CFF" w:rsidP="008C0CFF">
            <w:pPr>
              <w:jc w:val="center"/>
              <w:rPr>
                <w:color w:val="000000"/>
                <w:sz w:val="22"/>
              </w:rPr>
            </w:pPr>
            <w:r w:rsidRPr="008C0CFF">
              <w:rPr>
                <w:color w:val="000000"/>
                <w:sz w:val="22"/>
              </w:rPr>
              <w:t>4,100</w:t>
            </w:r>
          </w:p>
        </w:tc>
        <w:tc>
          <w:tcPr>
            <w:tcW w:w="1350" w:type="dxa"/>
            <w:tcBorders>
              <w:top w:val="nil"/>
              <w:left w:val="nil"/>
              <w:bottom w:val="single" w:sz="4" w:space="0" w:color="auto"/>
              <w:right w:val="single" w:sz="4" w:space="0" w:color="auto"/>
            </w:tcBorders>
            <w:shd w:val="clear" w:color="auto" w:fill="auto"/>
            <w:noWrap/>
            <w:vAlign w:val="center"/>
          </w:tcPr>
          <w:p w14:paraId="57A75493" w14:textId="590A3055" w:rsidR="008C0CFF" w:rsidRPr="008C0CFF" w:rsidRDefault="008C0CFF" w:rsidP="008C0CFF">
            <w:pPr>
              <w:jc w:val="center"/>
              <w:rPr>
                <w:color w:val="000000"/>
                <w:sz w:val="22"/>
                <w:highlight w:val="yellow"/>
              </w:rPr>
            </w:pPr>
            <w:r w:rsidRPr="008C0CFF">
              <w:rPr>
                <w:color w:val="000000"/>
                <w:sz w:val="22"/>
              </w:rPr>
              <w:t>0</w:t>
            </w:r>
          </w:p>
        </w:tc>
        <w:tc>
          <w:tcPr>
            <w:tcW w:w="1349" w:type="dxa"/>
            <w:tcBorders>
              <w:top w:val="nil"/>
              <w:left w:val="nil"/>
              <w:bottom w:val="single" w:sz="4" w:space="0" w:color="auto"/>
              <w:right w:val="single" w:sz="4" w:space="0" w:color="auto"/>
            </w:tcBorders>
            <w:shd w:val="clear" w:color="auto" w:fill="auto"/>
            <w:noWrap/>
            <w:vAlign w:val="center"/>
          </w:tcPr>
          <w:p w14:paraId="49646444" w14:textId="7D475C99" w:rsidR="008C0CFF" w:rsidRPr="008C0CFF" w:rsidRDefault="008C0CFF" w:rsidP="008C0CFF">
            <w:pPr>
              <w:jc w:val="center"/>
              <w:rPr>
                <w:color w:val="000000"/>
                <w:sz w:val="22"/>
              </w:rPr>
            </w:pPr>
            <w:r w:rsidRPr="008C0CFF">
              <w:rPr>
                <w:color w:val="000000"/>
                <w:sz w:val="22"/>
              </w:rPr>
              <w:t>2,200</w:t>
            </w:r>
          </w:p>
        </w:tc>
        <w:tc>
          <w:tcPr>
            <w:tcW w:w="1349" w:type="dxa"/>
            <w:tcBorders>
              <w:top w:val="nil"/>
              <w:left w:val="nil"/>
              <w:bottom w:val="single" w:sz="4" w:space="0" w:color="auto"/>
              <w:right w:val="single" w:sz="4" w:space="0" w:color="auto"/>
            </w:tcBorders>
            <w:shd w:val="clear" w:color="auto" w:fill="auto"/>
            <w:noWrap/>
            <w:vAlign w:val="center"/>
          </w:tcPr>
          <w:p w14:paraId="2B676EE1" w14:textId="7E75AD73" w:rsidR="008C0CFF" w:rsidRPr="008C0CFF" w:rsidRDefault="008C0CFF" w:rsidP="008C0CFF">
            <w:pPr>
              <w:jc w:val="center"/>
              <w:rPr>
                <w:color w:val="000000"/>
                <w:sz w:val="22"/>
              </w:rPr>
            </w:pPr>
            <w:r w:rsidRPr="008C0CFF">
              <w:rPr>
                <w:color w:val="000000"/>
                <w:sz w:val="22"/>
              </w:rPr>
              <w:t>2,000</w:t>
            </w:r>
          </w:p>
        </w:tc>
        <w:tc>
          <w:tcPr>
            <w:tcW w:w="1350" w:type="dxa"/>
            <w:tcBorders>
              <w:top w:val="nil"/>
              <w:left w:val="nil"/>
              <w:bottom w:val="single" w:sz="4" w:space="0" w:color="auto"/>
              <w:right w:val="single" w:sz="4" w:space="0" w:color="auto"/>
            </w:tcBorders>
            <w:shd w:val="clear" w:color="auto" w:fill="auto"/>
            <w:noWrap/>
            <w:vAlign w:val="center"/>
          </w:tcPr>
          <w:p w14:paraId="3A156FFA" w14:textId="2FE854B0" w:rsidR="008C0CFF" w:rsidRPr="008C0CFF" w:rsidRDefault="008C0CFF" w:rsidP="008C0CFF">
            <w:pPr>
              <w:jc w:val="center"/>
              <w:rPr>
                <w:color w:val="000000"/>
                <w:sz w:val="22"/>
              </w:rPr>
            </w:pPr>
            <w:r w:rsidRPr="008C0CFF">
              <w:rPr>
                <w:color w:val="000000"/>
                <w:sz w:val="22"/>
              </w:rPr>
              <w:t>910</w:t>
            </w:r>
          </w:p>
        </w:tc>
      </w:tr>
      <w:tr w:rsidR="008C0CFF" w:rsidRPr="0039677D" w14:paraId="341F2630" w14:textId="77777777" w:rsidTr="00BD24CE">
        <w:trPr>
          <w:trHeight w:val="288"/>
        </w:trPr>
        <w:tc>
          <w:tcPr>
            <w:tcW w:w="1349" w:type="dxa"/>
            <w:tcBorders>
              <w:top w:val="nil"/>
              <w:left w:val="single" w:sz="4" w:space="0" w:color="auto"/>
              <w:bottom w:val="single" w:sz="4" w:space="0" w:color="auto"/>
              <w:right w:val="single" w:sz="4" w:space="0" w:color="auto"/>
            </w:tcBorders>
            <w:shd w:val="clear" w:color="auto" w:fill="auto"/>
            <w:noWrap/>
            <w:vAlign w:val="center"/>
            <w:hideMark/>
          </w:tcPr>
          <w:p w14:paraId="309BF885" w14:textId="77777777" w:rsidR="008C0CFF" w:rsidRPr="00BE1863" w:rsidRDefault="008C0CFF" w:rsidP="008C0CFF">
            <w:pPr>
              <w:jc w:val="center"/>
              <w:rPr>
                <w:color w:val="000000"/>
                <w:sz w:val="22"/>
              </w:rPr>
            </w:pPr>
            <w:r w:rsidRPr="00BE1863">
              <w:rPr>
                <w:color w:val="000000"/>
                <w:sz w:val="22"/>
              </w:rPr>
              <w:t>2016</w:t>
            </w:r>
          </w:p>
        </w:tc>
        <w:tc>
          <w:tcPr>
            <w:tcW w:w="1349" w:type="dxa"/>
            <w:tcBorders>
              <w:top w:val="single" w:sz="4" w:space="0" w:color="auto"/>
              <w:left w:val="nil"/>
              <w:bottom w:val="single" w:sz="4" w:space="0" w:color="auto"/>
              <w:right w:val="single" w:sz="4" w:space="0" w:color="auto"/>
            </w:tcBorders>
            <w:vAlign w:val="center"/>
          </w:tcPr>
          <w:p w14:paraId="5E4EB8C9" w14:textId="18DB7DA7" w:rsidR="008C0CFF" w:rsidRPr="008C0CFF" w:rsidRDefault="008C0CFF" w:rsidP="008C0CFF">
            <w:pPr>
              <w:jc w:val="center"/>
              <w:rPr>
                <w:color w:val="000000"/>
                <w:sz w:val="22"/>
              </w:rPr>
            </w:pPr>
            <w:r w:rsidRPr="008C0CFF">
              <w:rPr>
                <w:color w:val="000000"/>
                <w:sz w:val="22"/>
              </w:rPr>
              <w:t>5,182</w:t>
            </w:r>
          </w:p>
        </w:tc>
        <w:tc>
          <w:tcPr>
            <w:tcW w:w="1349" w:type="dxa"/>
            <w:tcBorders>
              <w:top w:val="nil"/>
              <w:left w:val="single" w:sz="4" w:space="0" w:color="auto"/>
              <w:bottom w:val="single" w:sz="4" w:space="0" w:color="auto"/>
              <w:right w:val="single" w:sz="4" w:space="0" w:color="auto"/>
            </w:tcBorders>
            <w:shd w:val="clear" w:color="auto" w:fill="auto"/>
            <w:noWrap/>
            <w:vAlign w:val="center"/>
          </w:tcPr>
          <w:p w14:paraId="6A99D19E" w14:textId="6320DE33" w:rsidR="008C0CFF" w:rsidRPr="008C0CFF" w:rsidRDefault="008C0CFF" w:rsidP="008C0CFF">
            <w:pPr>
              <w:jc w:val="center"/>
              <w:rPr>
                <w:color w:val="000000"/>
                <w:sz w:val="22"/>
              </w:rPr>
            </w:pPr>
            <w:r w:rsidRPr="008C0CFF">
              <w:rPr>
                <w:color w:val="000000"/>
                <w:sz w:val="22"/>
              </w:rPr>
              <w:t>5,900</w:t>
            </w:r>
          </w:p>
        </w:tc>
        <w:tc>
          <w:tcPr>
            <w:tcW w:w="1350" w:type="dxa"/>
            <w:tcBorders>
              <w:top w:val="nil"/>
              <w:left w:val="nil"/>
              <w:bottom w:val="single" w:sz="4" w:space="0" w:color="auto"/>
              <w:right w:val="single" w:sz="4" w:space="0" w:color="auto"/>
            </w:tcBorders>
            <w:shd w:val="clear" w:color="auto" w:fill="auto"/>
            <w:noWrap/>
            <w:vAlign w:val="center"/>
          </w:tcPr>
          <w:p w14:paraId="2A0B894B" w14:textId="39116382" w:rsidR="008C0CFF" w:rsidRPr="008C0CFF" w:rsidRDefault="008C0CFF" w:rsidP="008C0CFF">
            <w:pPr>
              <w:jc w:val="center"/>
              <w:rPr>
                <w:color w:val="000000"/>
                <w:sz w:val="22"/>
              </w:rPr>
            </w:pPr>
            <w:r w:rsidRPr="008C0CFF">
              <w:rPr>
                <w:color w:val="000000"/>
                <w:sz w:val="22"/>
              </w:rPr>
              <w:t>117</w:t>
            </w:r>
          </w:p>
        </w:tc>
        <w:tc>
          <w:tcPr>
            <w:tcW w:w="1349" w:type="dxa"/>
            <w:tcBorders>
              <w:top w:val="nil"/>
              <w:left w:val="nil"/>
              <w:bottom w:val="single" w:sz="4" w:space="0" w:color="auto"/>
              <w:right w:val="single" w:sz="4" w:space="0" w:color="auto"/>
            </w:tcBorders>
            <w:shd w:val="clear" w:color="auto" w:fill="auto"/>
            <w:noWrap/>
            <w:vAlign w:val="center"/>
          </w:tcPr>
          <w:p w14:paraId="179ED57F" w14:textId="42FF074C" w:rsidR="008C0CFF" w:rsidRPr="008C0CFF" w:rsidRDefault="008C0CFF" w:rsidP="008C0CFF">
            <w:pPr>
              <w:jc w:val="center"/>
              <w:rPr>
                <w:color w:val="000000"/>
                <w:sz w:val="22"/>
              </w:rPr>
            </w:pPr>
            <w:r w:rsidRPr="008C0CFF">
              <w:rPr>
                <w:color w:val="000000"/>
                <w:sz w:val="22"/>
              </w:rPr>
              <w:t>3,700</w:t>
            </w:r>
          </w:p>
        </w:tc>
        <w:tc>
          <w:tcPr>
            <w:tcW w:w="1349" w:type="dxa"/>
            <w:tcBorders>
              <w:top w:val="nil"/>
              <w:left w:val="nil"/>
              <w:bottom w:val="single" w:sz="4" w:space="0" w:color="auto"/>
              <w:right w:val="single" w:sz="4" w:space="0" w:color="auto"/>
            </w:tcBorders>
            <w:shd w:val="clear" w:color="auto" w:fill="auto"/>
            <w:noWrap/>
            <w:vAlign w:val="center"/>
          </w:tcPr>
          <w:p w14:paraId="4371150B" w14:textId="28532A96" w:rsidR="008C0CFF" w:rsidRPr="008C0CFF" w:rsidRDefault="008C0CFF" w:rsidP="008C0CFF">
            <w:pPr>
              <w:jc w:val="center"/>
              <w:rPr>
                <w:color w:val="000000"/>
                <w:sz w:val="22"/>
              </w:rPr>
            </w:pPr>
            <w:r w:rsidRPr="008C0CFF">
              <w:rPr>
                <w:color w:val="000000"/>
                <w:sz w:val="22"/>
              </w:rPr>
              <w:t>3,400</w:t>
            </w:r>
          </w:p>
        </w:tc>
        <w:tc>
          <w:tcPr>
            <w:tcW w:w="1350" w:type="dxa"/>
            <w:tcBorders>
              <w:top w:val="nil"/>
              <w:left w:val="nil"/>
              <w:bottom w:val="single" w:sz="4" w:space="0" w:color="auto"/>
              <w:right w:val="single" w:sz="4" w:space="0" w:color="auto"/>
            </w:tcBorders>
            <w:shd w:val="clear" w:color="auto" w:fill="auto"/>
            <w:noWrap/>
            <w:vAlign w:val="center"/>
          </w:tcPr>
          <w:p w14:paraId="644131C4" w14:textId="1A814EE2" w:rsidR="008C0CFF" w:rsidRPr="008C0CFF" w:rsidRDefault="008C0CFF" w:rsidP="008C0CFF">
            <w:pPr>
              <w:jc w:val="center"/>
              <w:rPr>
                <w:color w:val="000000"/>
                <w:sz w:val="22"/>
              </w:rPr>
            </w:pPr>
            <w:r w:rsidRPr="008C0CFF">
              <w:rPr>
                <w:color w:val="000000"/>
                <w:sz w:val="22"/>
              </w:rPr>
              <w:t>1,100</w:t>
            </w:r>
          </w:p>
        </w:tc>
      </w:tr>
      <w:tr w:rsidR="008C0CFF" w:rsidRPr="0039677D" w14:paraId="451DD952" w14:textId="77777777" w:rsidTr="00BD24CE">
        <w:trPr>
          <w:trHeight w:val="288"/>
        </w:trPr>
        <w:tc>
          <w:tcPr>
            <w:tcW w:w="1349" w:type="dxa"/>
            <w:tcBorders>
              <w:top w:val="nil"/>
              <w:left w:val="single" w:sz="4" w:space="0" w:color="auto"/>
              <w:bottom w:val="single" w:sz="4" w:space="0" w:color="auto"/>
              <w:right w:val="single" w:sz="4" w:space="0" w:color="auto"/>
            </w:tcBorders>
            <w:shd w:val="clear" w:color="auto" w:fill="auto"/>
            <w:noWrap/>
            <w:vAlign w:val="center"/>
            <w:hideMark/>
          </w:tcPr>
          <w:p w14:paraId="2A08CE30" w14:textId="77777777" w:rsidR="008C0CFF" w:rsidRPr="00BE1863" w:rsidRDefault="008C0CFF" w:rsidP="008C0CFF">
            <w:pPr>
              <w:jc w:val="center"/>
              <w:rPr>
                <w:color w:val="000000"/>
                <w:sz w:val="22"/>
              </w:rPr>
            </w:pPr>
            <w:r w:rsidRPr="00BE1863">
              <w:rPr>
                <w:color w:val="000000"/>
                <w:sz w:val="22"/>
              </w:rPr>
              <w:t>2017</w:t>
            </w:r>
          </w:p>
        </w:tc>
        <w:tc>
          <w:tcPr>
            <w:tcW w:w="1349" w:type="dxa"/>
            <w:tcBorders>
              <w:top w:val="single" w:sz="4" w:space="0" w:color="auto"/>
              <w:left w:val="nil"/>
              <w:bottom w:val="single" w:sz="4" w:space="0" w:color="auto"/>
              <w:right w:val="single" w:sz="4" w:space="0" w:color="auto"/>
            </w:tcBorders>
            <w:vAlign w:val="center"/>
          </w:tcPr>
          <w:p w14:paraId="4D17EFE5" w14:textId="5C3CEF9C" w:rsidR="008C0CFF" w:rsidRPr="008C0CFF" w:rsidRDefault="008C0CFF" w:rsidP="008C0CFF">
            <w:pPr>
              <w:jc w:val="center"/>
              <w:rPr>
                <w:color w:val="000000"/>
                <w:sz w:val="22"/>
              </w:rPr>
            </w:pPr>
            <w:r w:rsidRPr="008C0CFF">
              <w:rPr>
                <w:color w:val="000000"/>
                <w:sz w:val="22"/>
              </w:rPr>
              <w:t>3,687</w:t>
            </w:r>
          </w:p>
        </w:tc>
        <w:tc>
          <w:tcPr>
            <w:tcW w:w="1349" w:type="dxa"/>
            <w:tcBorders>
              <w:top w:val="nil"/>
              <w:left w:val="single" w:sz="4" w:space="0" w:color="auto"/>
              <w:bottom w:val="single" w:sz="4" w:space="0" w:color="auto"/>
              <w:right w:val="single" w:sz="4" w:space="0" w:color="auto"/>
            </w:tcBorders>
            <w:shd w:val="clear" w:color="auto" w:fill="auto"/>
            <w:noWrap/>
            <w:vAlign w:val="center"/>
          </w:tcPr>
          <w:p w14:paraId="2EDADD9B" w14:textId="12D99920" w:rsidR="008C0CFF" w:rsidRPr="008C0CFF" w:rsidRDefault="008C0CFF" w:rsidP="008C0CFF">
            <w:pPr>
              <w:jc w:val="center"/>
              <w:rPr>
                <w:color w:val="000000"/>
                <w:sz w:val="22"/>
              </w:rPr>
            </w:pPr>
            <w:r w:rsidRPr="008C0CFF">
              <w:rPr>
                <w:color w:val="000000"/>
                <w:sz w:val="22"/>
              </w:rPr>
              <w:t>4,200</w:t>
            </w:r>
          </w:p>
        </w:tc>
        <w:tc>
          <w:tcPr>
            <w:tcW w:w="1350" w:type="dxa"/>
            <w:tcBorders>
              <w:top w:val="nil"/>
              <w:left w:val="nil"/>
              <w:bottom w:val="single" w:sz="4" w:space="0" w:color="auto"/>
              <w:right w:val="single" w:sz="4" w:space="0" w:color="auto"/>
            </w:tcBorders>
            <w:shd w:val="clear" w:color="auto" w:fill="auto"/>
            <w:noWrap/>
            <w:vAlign w:val="center"/>
          </w:tcPr>
          <w:p w14:paraId="1D7458CE" w14:textId="2398352C" w:rsidR="008C0CFF" w:rsidRPr="008C0CFF" w:rsidRDefault="008C0CFF" w:rsidP="008C0CFF">
            <w:pPr>
              <w:jc w:val="center"/>
              <w:rPr>
                <w:color w:val="000000"/>
                <w:sz w:val="22"/>
              </w:rPr>
            </w:pPr>
            <w:r w:rsidRPr="008C0CFF">
              <w:rPr>
                <w:color w:val="000000"/>
                <w:sz w:val="22"/>
              </w:rPr>
              <w:t>152</w:t>
            </w:r>
          </w:p>
        </w:tc>
        <w:tc>
          <w:tcPr>
            <w:tcW w:w="1349" w:type="dxa"/>
            <w:tcBorders>
              <w:top w:val="nil"/>
              <w:left w:val="nil"/>
              <w:bottom w:val="single" w:sz="4" w:space="0" w:color="auto"/>
              <w:right w:val="single" w:sz="4" w:space="0" w:color="auto"/>
            </w:tcBorders>
            <w:shd w:val="clear" w:color="auto" w:fill="auto"/>
            <w:noWrap/>
            <w:vAlign w:val="center"/>
          </w:tcPr>
          <w:p w14:paraId="137F93FB" w14:textId="2B2A5970" w:rsidR="008C0CFF" w:rsidRPr="008C0CFF" w:rsidRDefault="008C0CFF" w:rsidP="008C0CFF">
            <w:pPr>
              <w:jc w:val="center"/>
              <w:rPr>
                <w:color w:val="000000"/>
                <w:sz w:val="22"/>
              </w:rPr>
            </w:pPr>
            <w:r w:rsidRPr="008C0CFF">
              <w:rPr>
                <w:color w:val="000000"/>
                <w:sz w:val="22"/>
              </w:rPr>
              <w:t>3,600</w:t>
            </w:r>
          </w:p>
        </w:tc>
        <w:tc>
          <w:tcPr>
            <w:tcW w:w="1349" w:type="dxa"/>
            <w:tcBorders>
              <w:top w:val="nil"/>
              <w:left w:val="nil"/>
              <w:bottom w:val="single" w:sz="4" w:space="0" w:color="auto"/>
              <w:right w:val="single" w:sz="4" w:space="0" w:color="auto"/>
            </w:tcBorders>
            <w:shd w:val="clear" w:color="auto" w:fill="auto"/>
            <w:noWrap/>
            <w:vAlign w:val="center"/>
          </w:tcPr>
          <w:p w14:paraId="205CC00E" w14:textId="6681AEC5" w:rsidR="008C0CFF" w:rsidRPr="008C0CFF" w:rsidRDefault="008C0CFF" w:rsidP="008C0CFF">
            <w:pPr>
              <w:jc w:val="center"/>
              <w:rPr>
                <w:color w:val="000000"/>
                <w:sz w:val="22"/>
              </w:rPr>
            </w:pPr>
            <w:r w:rsidRPr="008C0CFF">
              <w:rPr>
                <w:color w:val="000000"/>
                <w:sz w:val="22"/>
              </w:rPr>
              <w:t>3,100</w:t>
            </w:r>
          </w:p>
        </w:tc>
        <w:tc>
          <w:tcPr>
            <w:tcW w:w="1350" w:type="dxa"/>
            <w:tcBorders>
              <w:top w:val="nil"/>
              <w:left w:val="nil"/>
              <w:bottom w:val="single" w:sz="4" w:space="0" w:color="auto"/>
              <w:right w:val="single" w:sz="4" w:space="0" w:color="auto"/>
            </w:tcBorders>
            <w:shd w:val="clear" w:color="auto" w:fill="auto"/>
            <w:noWrap/>
            <w:vAlign w:val="center"/>
          </w:tcPr>
          <w:p w14:paraId="21409196" w14:textId="515AEC00" w:rsidR="008C0CFF" w:rsidRPr="008C0CFF" w:rsidRDefault="008C0CFF" w:rsidP="008C0CFF">
            <w:pPr>
              <w:jc w:val="center"/>
              <w:rPr>
                <w:color w:val="000000"/>
                <w:sz w:val="22"/>
              </w:rPr>
            </w:pPr>
            <w:r w:rsidRPr="008C0CFF">
              <w:rPr>
                <w:color w:val="000000"/>
                <w:sz w:val="22"/>
              </w:rPr>
              <w:t>1,600</w:t>
            </w:r>
          </w:p>
        </w:tc>
      </w:tr>
      <w:tr w:rsidR="008C0CFF" w:rsidRPr="0039677D" w14:paraId="60238030" w14:textId="77777777" w:rsidTr="00BD24CE">
        <w:trPr>
          <w:trHeight w:val="288"/>
        </w:trPr>
        <w:tc>
          <w:tcPr>
            <w:tcW w:w="1349" w:type="dxa"/>
            <w:tcBorders>
              <w:top w:val="nil"/>
              <w:left w:val="single" w:sz="4" w:space="0" w:color="auto"/>
              <w:bottom w:val="single" w:sz="4" w:space="0" w:color="auto"/>
              <w:right w:val="single" w:sz="4" w:space="0" w:color="auto"/>
            </w:tcBorders>
            <w:shd w:val="clear" w:color="auto" w:fill="auto"/>
            <w:noWrap/>
            <w:vAlign w:val="center"/>
          </w:tcPr>
          <w:p w14:paraId="44E6130F" w14:textId="50A8790A" w:rsidR="008C0CFF" w:rsidRPr="00BE1863" w:rsidRDefault="008C0CFF" w:rsidP="008C0CFF">
            <w:pPr>
              <w:jc w:val="center"/>
              <w:rPr>
                <w:bCs/>
                <w:color w:val="000000"/>
                <w:sz w:val="22"/>
              </w:rPr>
            </w:pPr>
            <w:r w:rsidRPr="00BE1863">
              <w:rPr>
                <w:bCs/>
                <w:color w:val="000000"/>
                <w:sz w:val="22"/>
              </w:rPr>
              <w:t>2018</w:t>
            </w:r>
          </w:p>
        </w:tc>
        <w:tc>
          <w:tcPr>
            <w:tcW w:w="1349" w:type="dxa"/>
            <w:tcBorders>
              <w:top w:val="single" w:sz="4" w:space="0" w:color="auto"/>
              <w:left w:val="nil"/>
              <w:bottom w:val="single" w:sz="4" w:space="0" w:color="auto"/>
              <w:right w:val="single" w:sz="4" w:space="0" w:color="auto"/>
            </w:tcBorders>
            <w:vAlign w:val="center"/>
          </w:tcPr>
          <w:p w14:paraId="7F6BAF1A" w14:textId="6DB8533D" w:rsidR="008C0CFF" w:rsidRPr="008C0CFF" w:rsidRDefault="008C0CFF" w:rsidP="008C0CFF">
            <w:pPr>
              <w:jc w:val="center"/>
              <w:rPr>
                <w:bCs/>
                <w:color w:val="000000"/>
                <w:sz w:val="22"/>
              </w:rPr>
            </w:pPr>
            <w:r w:rsidRPr="008C0CFF">
              <w:rPr>
                <w:color w:val="000000"/>
                <w:sz w:val="22"/>
              </w:rPr>
              <w:t>3,258</w:t>
            </w:r>
          </w:p>
        </w:tc>
        <w:tc>
          <w:tcPr>
            <w:tcW w:w="1349" w:type="dxa"/>
            <w:tcBorders>
              <w:top w:val="nil"/>
              <w:left w:val="single" w:sz="4" w:space="0" w:color="auto"/>
              <w:bottom w:val="single" w:sz="4" w:space="0" w:color="auto"/>
              <w:right w:val="single" w:sz="4" w:space="0" w:color="auto"/>
            </w:tcBorders>
            <w:shd w:val="clear" w:color="auto" w:fill="auto"/>
            <w:noWrap/>
            <w:vAlign w:val="center"/>
          </w:tcPr>
          <w:p w14:paraId="4975FC8B" w14:textId="604225C7" w:rsidR="008C0CFF" w:rsidRPr="008C0CFF" w:rsidRDefault="008C0CFF" w:rsidP="008C0CFF">
            <w:pPr>
              <w:jc w:val="center"/>
              <w:rPr>
                <w:bCs/>
                <w:color w:val="000000"/>
                <w:sz w:val="22"/>
                <w:highlight w:val="yellow"/>
              </w:rPr>
            </w:pPr>
            <w:r w:rsidRPr="008C0CFF">
              <w:rPr>
                <w:color w:val="000000"/>
                <w:sz w:val="22"/>
              </w:rPr>
              <w:t>3,700</w:t>
            </w:r>
          </w:p>
        </w:tc>
        <w:tc>
          <w:tcPr>
            <w:tcW w:w="1350" w:type="dxa"/>
            <w:tcBorders>
              <w:top w:val="nil"/>
              <w:left w:val="nil"/>
              <w:bottom w:val="single" w:sz="4" w:space="0" w:color="auto"/>
              <w:right w:val="single" w:sz="4" w:space="0" w:color="auto"/>
            </w:tcBorders>
            <w:shd w:val="clear" w:color="auto" w:fill="auto"/>
            <w:noWrap/>
            <w:vAlign w:val="center"/>
          </w:tcPr>
          <w:p w14:paraId="4E662F05" w14:textId="53F88BE9" w:rsidR="008C0CFF" w:rsidRPr="008C0CFF" w:rsidRDefault="008C0CFF" w:rsidP="008C0CFF">
            <w:pPr>
              <w:jc w:val="center"/>
              <w:rPr>
                <w:bCs/>
                <w:color w:val="000000"/>
                <w:sz w:val="22"/>
                <w:highlight w:val="yellow"/>
              </w:rPr>
            </w:pPr>
            <w:r w:rsidRPr="008C0CFF">
              <w:rPr>
                <w:color w:val="000000"/>
                <w:sz w:val="22"/>
              </w:rPr>
              <w:t>59</w:t>
            </w:r>
          </w:p>
        </w:tc>
        <w:tc>
          <w:tcPr>
            <w:tcW w:w="1349" w:type="dxa"/>
            <w:tcBorders>
              <w:top w:val="nil"/>
              <w:left w:val="nil"/>
              <w:bottom w:val="single" w:sz="4" w:space="0" w:color="auto"/>
              <w:right w:val="single" w:sz="4" w:space="0" w:color="auto"/>
            </w:tcBorders>
            <w:shd w:val="clear" w:color="auto" w:fill="auto"/>
            <w:noWrap/>
            <w:vAlign w:val="center"/>
          </w:tcPr>
          <w:p w14:paraId="4126BA71" w14:textId="34CB986B" w:rsidR="008C0CFF" w:rsidRPr="008C0CFF" w:rsidRDefault="008C0CFF" w:rsidP="008C0CFF">
            <w:pPr>
              <w:jc w:val="center"/>
              <w:rPr>
                <w:bCs/>
                <w:color w:val="000000"/>
                <w:sz w:val="22"/>
                <w:highlight w:val="yellow"/>
              </w:rPr>
            </w:pPr>
            <w:r w:rsidRPr="008C0CFF">
              <w:rPr>
                <w:color w:val="000000"/>
                <w:sz w:val="22"/>
              </w:rPr>
              <w:t>3,200</w:t>
            </w:r>
          </w:p>
        </w:tc>
        <w:tc>
          <w:tcPr>
            <w:tcW w:w="1349" w:type="dxa"/>
            <w:tcBorders>
              <w:top w:val="nil"/>
              <w:left w:val="nil"/>
              <w:bottom w:val="single" w:sz="4" w:space="0" w:color="auto"/>
              <w:right w:val="single" w:sz="4" w:space="0" w:color="auto"/>
            </w:tcBorders>
            <w:shd w:val="clear" w:color="auto" w:fill="auto"/>
            <w:noWrap/>
            <w:vAlign w:val="center"/>
          </w:tcPr>
          <w:p w14:paraId="05CB62E9" w14:textId="66E050D6" w:rsidR="008C0CFF" w:rsidRPr="008C0CFF" w:rsidRDefault="008C0CFF" w:rsidP="008C0CFF">
            <w:pPr>
              <w:jc w:val="center"/>
              <w:rPr>
                <w:bCs/>
                <w:color w:val="000000"/>
                <w:sz w:val="22"/>
                <w:highlight w:val="yellow"/>
              </w:rPr>
            </w:pPr>
            <w:r w:rsidRPr="008C0CFF">
              <w:rPr>
                <w:color w:val="000000"/>
                <w:sz w:val="22"/>
              </w:rPr>
              <w:t>2,800</w:t>
            </w:r>
          </w:p>
        </w:tc>
        <w:tc>
          <w:tcPr>
            <w:tcW w:w="1350" w:type="dxa"/>
            <w:tcBorders>
              <w:top w:val="nil"/>
              <w:left w:val="nil"/>
              <w:bottom w:val="single" w:sz="4" w:space="0" w:color="auto"/>
              <w:right w:val="single" w:sz="4" w:space="0" w:color="auto"/>
            </w:tcBorders>
            <w:shd w:val="clear" w:color="auto" w:fill="auto"/>
            <w:noWrap/>
            <w:vAlign w:val="center"/>
          </w:tcPr>
          <w:p w14:paraId="669E40A9" w14:textId="37F6BFAF" w:rsidR="008C0CFF" w:rsidRPr="008C0CFF" w:rsidRDefault="008C0CFF" w:rsidP="008C0CFF">
            <w:pPr>
              <w:jc w:val="center"/>
              <w:rPr>
                <w:bCs/>
                <w:color w:val="000000"/>
                <w:sz w:val="22"/>
                <w:highlight w:val="yellow"/>
              </w:rPr>
            </w:pPr>
            <w:r w:rsidRPr="008C0CFF">
              <w:rPr>
                <w:color w:val="000000"/>
                <w:sz w:val="22"/>
              </w:rPr>
              <w:t>1,800</w:t>
            </w:r>
          </w:p>
        </w:tc>
      </w:tr>
      <w:tr w:rsidR="008C0CFF" w:rsidRPr="0039677D" w14:paraId="02E91E65" w14:textId="77777777" w:rsidTr="00BD24CE">
        <w:trPr>
          <w:trHeight w:val="288"/>
        </w:trPr>
        <w:tc>
          <w:tcPr>
            <w:tcW w:w="1349" w:type="dxa"/>
            <w:tcBorders>
              <w:top w:val="nil"/>
              <w:left w:val="single" w:sz="4" w:space="0" w:color="auto"/>
              <w:bottom w:val="single" w:sz="4" w:space="0" w:color="auto"/>
              <w:right w:val="single" w:sz="4" w:space="0" w:color="auto"/>
            </w:tcBorders>
            <w:shd w:val="clear" w:color="auto" w:fill="auto"/>
            <w:noWrap/>
            <w:vAlign w:val="center"/>
          </w:tcPr>
          <w:p w14:paraId="478976E4" w14:textId="6FB9FDBC" w:rsidR="008C0CFF" w:rsidRPr="00BE1863" w:rsidRDefault="008C0CFF" w:rsidP="008C0CFF">
            <w:pPr>
              <w:jc w:val="center"/>
              <w:rPr>
                <w:bCs/>
                <w:color w:val="000000"/>
                <w:sz w:val="22"/>
              </w:rPr>
            </w:pPr>
            <w:r>
              <w:rPr>
                <w:bCs/>
                <w:color w:val="000000"/>
                <w:sz w:val="22"/>
              </w:rPr>
              <w:t>2019</w:t>
            </w:r>
          </w:p>
        </w:tc>
        <w:tc>
          <w:tcPr>
            <w:tcW w:w="1349" w:type="dxa"/>
            <w:tcBorders>
              <w:top w:val="single" w:sz="4" w:space="0" w:color="auto"/>
              <w:left w:val="nil"/>
              <w:bottom w:val="single" w:sz="4" w:space="0" w:color="auto"/>
              <w:right w:val="single" w:sz="4" w:space="0" w:color="auto"/>
            </w:tcBorders>
            <w:vAlign w:val="center"/>
          </w:tcPr>
          <w:p w14:paraId="7FA2D8FF" w14:textId="102478F7" w:rsidR="008C0CFF" w:rsidRPr="008C0CFF" w:rsidRDefault="008C0CFF" w:rsidP="008C0CFF">
            <w:pPr>
              <w:jc w:val="center"/>
              <w:rPr>
                <w:sz w:val="22"/>
              </w:rPr>
            </w:pPr>
            <w:r w:rsidRPr="008C0CFF">
              <w:rPr>
                <w:color w:val="000000"/>
                <w:sz w:val="22"/>
              </w:rPr>
              <w:t>712</w:t>
            </w:r>
          </w:p>
        </w:tc>
        <w:tc>
          <w:tcPr>
            <w:tcW w:w="1349" w:type="dxa"/>
            <w:tcBorders>
              <w:top w:val="nil"/>
              <w:left w:val="single" w:sz="4" w:space="0" w:color="auto"/>
              <w:bottom w:val="single" w:sz="4" w:space="0" w:color="auto"/>
              <w:right w:val="single" w:sz="4" w:space="0" w:color="auto"/>
            </w:tcBorders>
            <w:shd w:val="clear" w:color="auto" w:fill="auto"/>
            <w:noWrap/>
            <w:vAlign w:val="center"/>
          </w:tcPr>
          <w:p w14:paraId="256BBC7A" w14:textId="62414DC8" w:rsidR="008C0CFF" w:rsidRPr="008C0CFF" w:rsidRDefault="008C0CFF" w:rsidP="008C0CFF">
            <w:pPr>
              <w:jc w:val="center"/>
              <w:rPr>
                <w:color w:val="000000"/>
                <w:sz w:val="22"/>
              </w:rPr>
            </w:pPr>
            <w:r w:rsidRPr="008C0CFF">
              <w:rPr>
                <w:color w:val="000000"/>
                <w:sz w:val="22"/>
              </w:rPr>
              <w:t>810</w:t>
            </w:r>
          </w:p>
        </w:tc>
        <w:tc>
          <w:tcPr>
            <w:tcW w:w="1350" w:type="dxa"/>
            <w:tcBorders>
              <w:top w:val="nil"/>
              <w:left w:val="nil"/>
              <w:bottom w:val="single" w:sz="4" w:space="0" w:color="auto"/>
              <w:right w:val="single" w:sz="4" w:space="0" w:color="auto"/>
            </w:tcBorders>
            <w:shd w:val="clear" w:color="auto" w:fill="auto"/>
            <w:noWrap/>
            <w:vAlign w:val="center"/>
          </w:tcPr>
          <w:p w14:paraId="312A6851" w14:textId="7E51D861" w:rsidR="008C0CFF" w:rsidRPr="008C0CFF" w:rsidRDefault="008C0CFF" w:rsidP="008C0CFF">
            <w:pPr>
              <w:jc w:val="center"/>
              <w:rPr>
                <w:sz w:val="22"/>
              </w:rPr>
            </w:pPr>
            <w:r w:rsidRPr="008C0CFF">
              <w:rPr>
                <w:color w:val="000000"/>
                <w:sz w:val="22"/>
              </w:rPr>
              <w:t>26</w:t>
            </w:r>
          </w:p>
        </w:tc>
        <w:tc>
          <w:tcPr>
            <w:tcW w:w="1349" w:type="dxa"/>
            <w:tcBorders>
              <w:top w:val="nil"/>
              <w:left w:val="nil"/>
              <w:bottom w:val="single" w:sz="4" w:space="0" w:color="auto"/>
              <w:right w:val="single" w:sz="4" w:space="0" w:color="auto"/>
            </w:tcBorders>
            <w:shd w:val="clear" w:color="auto" w:fill="auto"/>
            <w:noWrap/>
            <w:vAlign w:val="center"/>
          </w:tcPr>
          <w:p w14:paraId="42F0B6A7" w14:textId="24E70291" w:rsidR="008C0CFF" w:rsidRPr="008C0CFF" w:rsidRDefault="008C0CFF" w:rsidP="008C0CFF">
            <w:pPr>
              <w:jc w:val="center"/>
              <w:rPr>
                <w:color w:val="000000"/>
                <w:sz w:val="22"/>
              </w:rPr>
            </w:pPr>
            <w:r w:rsidRPr="008C0CFF">
              <w:rPr>
                <w:color w:val="000000"/>
                <w:sz w:val="22"/>
              </w:rPr>
              <w:t>2,800</w:t>
            </w:r>
          </w:p>
        </w:tc>
        <w:tc>
          <w:tcPr>
            <w:tcW w:w="1349" w:type="dxa"/>
            <w:tcBorders>
              <w:top w:val="nil"/>
              <w:left w:val="nil"/>
              <w:bottom w:val="single" w:sz="4" w:space="0" w:color="auto"/>
              <w:right w:val="single" w:sz="4" w:space="0" w:color="auto"/>
            </w:tcBorders>
            <w:shd w:val="clear" w:color="auto" w:fill="auto"/>
            <w:noWrap/>
            <w:vAlign w:val="center"/>
          </w:tcPr>
          <w:p w14:paraId="279C0C98" w14:textId="4D5A3BEF" w:rsidR="008C0CFF" w:rsidRPr="008C0CFF" w:rsidRDefault="008C0CFF" w:rsidP="008C0CFF">
            <w:pPr>
              <w:jc w:val="center"/>
              <w:rPr>
                <w:color w:val="000000"/>
                <w:sz w:val="22"/>
              </w:rPr>
            </w:pPr>
            <w:r w:rsidRPr="008C0CFF">
              <w:rPr>
                <w:color w:val="000000"/>
                <w:sz w:val="22"/>
              </w:rPr>
              <w:t>2,600</w:t>
            </w:r>
          </w:p>
        </w:tc>
        <w:tc>
          <w:tcPr>
            <w:tcW w:w="1350" w:type="dxa"/>
            <w:tcBorders>
              <w:top w:val="nil"/>
              <w:left w:val="nil"/>
              <w:bottom w:val="single" w:sz="4" w:space="0" w:color="auto"/>
              <w:right w:val="single" w:sz="4" w:space="0" w:color="auto"/>
            </w:tcBorders>
            <w:shd w:val="clear" w:color="auto" w:fill="auto"/>
            <w:noWrap/>
            <w:vAlign w:val="center"/>
          </w:tcPr>
          <w:p w14:paraId="289BFA96" w14:textId="19BA0FB3" w:rsidR="008C0CFF" w:rsidRPr="008C0CFF" w:rsidRDefault="008C0CFF" w:rsidP="008C0CFF">
            <w:pPr>
              <w:jc w:val="center"/>
              <w:rPr>
                <w:color w:val="000000"/>
                <w:sz w:val="22"/>
              </w:rPr>
            </w:pPr>
            <w:r w:rsidRPr="008C0CFF">
              <w:rPr>
                <w:color w:val="000000"/>
                <w:sz w:val="22"/>
              </w:rPr>
              <w:t>870</w:t>
            </w:r>
          </w:p>
        </w:tc>
      </w:tr>
      <w:tr w:rsidR="008C0CFF" w:rsidRPr="0039677D" w14:paraId="1EFEBDAF" w14:textId="77777777" w:rsidTr="00BD24CE">
        <w:trPr>
          <w:trHeight w:val="288"/>
        </w:trPr>
        <w:tc>
          <w:tcPr>
            <w:tcW w:w="1349" w:type="dxa"/>
            <w:tcBorders>
              <w:top w:val="nil"/>
              <w:left w:val="single" w:sz="4" w:space="0" w:color="auto"/>
              <w:bottom w:val="single" w:sz="4" w:space="0" w:color="auto"/>
              <w:right w:val="single" w:sz="4" w:space="0" w:color="auto"/>
            </w:tcBorders>
            <w:shd w:val="clear" w:color="auto" w:fill="auto"/>
            <w:noWrap/>
            <w:vAlign w:val="center"/>
          </w:tcPr>
          <w:p w14:paraId="156FDBF8" w14:textId="1447E328" w:rsidR="008C0CFF" w:rsidRPr="00BE1863" w:rsidRDefault="008C0CFF" w:rsidP="008C0CFF">
            <w:pPr>
              <w:jc w:val="center"/>
              <w:rPr>
                <w:bCs/>
                <w:color w:val="000000"/>
                <w:sz w:val="22"/>
              </w:rPr>
            </w:pPr>
            <w:r>
              <w:rPr>
                <w:bCs/>
                <w:color w:val="000000"/>
                <w:sz w:val="22"/>
              </w:rPr>
              <w:t>2020</w:t>
            </w:r>
          </w:p>
        </w:tc>
        <w:tc>
          <w:tcPr>
            <w:tcW w:w="1349" w:type="dxa"/>
            <w:tcBorders>
              <w:top w:val="single" w:sz="4" w:space="0" w:color="auto"/>
              <w:left w:val="nil"/>
              <w:bottom w:val="single" w:sz="4" w:space="0" w:color="auto"/>
              <w:right w:val="single" w:sz="4" w:space="0" w:color="auto"/>
            </w:tcBorders>
            <w:vAlign w:val="center"/>
          </w:tcPr>
          <w:p w14:paraId="7F566E70" w14:textId="11F911A2" w:rsidR="008C0CFF" w:rsidRPr="008C0CFF" w:rsidRDefault="008C0CFF" w:rsidP="008C0CFF">
            <w:pPr>
              <w:jc w:val="center"/>
              <w:rPr>
                <w:sz w:val="22"/>
              </w:rPr>
            </w:pPr>
            <w:r w:rsidRPr="008C0CFF">
              <w:rPr>
                <w:color w:val="000000"/>
                <w:sz w:val="22"/>
              </w:rPr>
              <w:t>1,986</w:t>
            </w:r>
          </w:p>
        </w:tc>
        <w:tc>
          <w:tcPr>
            <w:tcW w:w="1349" w:type="dxa"/>
            <w:tcBorders>
              <w:top w:val="nil"/>
              <w:left w:val="single" w:sz="4" w:space="0" w:color="auto"/>
              <w:bottom w:val="single" w:sz="4" w:space="0" w:color="auto"/>
              <w:right w:val="single" w:sz="4" w:space="0" w:color="auto"/>
            </w:tcBorders>
            <w:shd w:val="clear" w:color="auto" w:fill="auto"/>
            <w:noWrap/>
            <w:vAlign w:val="center"/>
          </w:tcPr>
          <w:p w14:paraId="31D7CB7B" w14:textId="1B2631E5" w:rsidR="008C0CFF" w:rsidRPr="008C0CFF" w:rsidRDefault="008C0CFF" w:rsidP="008C0CFF">
            <w:pPr>
              <w:jc w:val="center"/>
              <w:rPr>
                <w:color w:val="000000"/>
                <w:sz w:val="22"/>
              </w:rPr>
            </w:pPr>
            <w:r w:rsidRPr="008C0CFF">
              <w:rPr>
                <w:color w:val="000000"/>
                <w:sz w:val="22"/>
              </w:rPr>
              <w:t>2,200</w:t>
            </w:r>
          </w:p>
        </w:tc>
        <w:tc>
          <w:tcPr>
            <w:tcW w:w="1350" w:type="dxa"/>
            <w:tcBorders>
              <w:top w:val="nil"/>
              <w:left w:val="nil"/>
              <w:bottom w:val="single" w:sz="4" w:space="0" w:color="auto"/>
              <w:right w:val="single" w:sz="4" w:space="0" w:color="auto"/>
            </w:tcBorders>
            <w:shd w:val="clear" w:color="auto" w:fill="auto"/>
            <w:noWrap/>
            <w:vAlign w:val="center"/>
          </w:tcPr>
          <w:p w14:paraId="3EA5ECD9" w14:textId="2354E0F4" w:rsidR="008C0CFF" w:rsidRPr="008C0CFF" w:rsidRDefault="008C0CFF" w:rsidP="008C0CFF">
            <w:pPr>
              <w:jc w:val="center"/>
              <w:rPr>
                <w:sz w:val="22"/>
              </w:rPr>
            </w:pPr>
            <w:r w:rsidRPr="008C0CFF">
              <w:rPr>
                <w:color w:val="000000"/>
                <w:sz w:val="22"/>
              </w:rPr>
              <w:t>217</w:t>
            </w:r>
          </w:p>
        </w:tc>
        <w:tc>
          <w:tcPr>
            <w:tcW w:w="1349" w:type="dxa"/>
            <w:tcBorders>
              <w:top w:val="nil"/>
              <w:left w:val="nil"/>
              <w:bottom w:val="single" w:sz="4" w:space="0" w:color="auto"/>
              <w:right w:val="single" w:sz="4" w:space="0" w:color="auto"/>
            </w:tcBorders>
            <w:shd w:val="clear" w:color="auto" w:fill="auto"/>
            <w:noWrap/>
            <w:vAlign w:val="center"/>
          </w:tcPr>
          <w:p w14:paraId="7E7C1F63" w14:textId="0A46C46A" w:rsidR="008C0CFF" w:rsidRPr="008C0CFF" w:rsidRDefault="008C0CFF" w:rsidP="008C0CFF">
            <w:pPr>
              <w:jc w:val="center"/>
              <w:rPr>
                <w:color w:val="000000"/>
                <w:sz w:val="22"/>
              </w:rPr>
            </w:pPr>
            <w:r w:rsidRPr="008C0CFF">
              <w:rPr>
                <w:color w:val="000000"/>
                <w:sz w:val="22"/>
              </w:rPr>
              <w:t>1,700</w:t>
            </w:r>
          </w:p>
        </w:tc>
        <w:tc>
          <w:tcPr>
            <w:tcW w:w="1349" w:type="dxa"/>
            <w:tcBorders>
              <w:top w:val="nil"/>
              <w:left w:val="nil"/>
              <w:bottom w:val="single" w:sz="4" w:space="0" w:color="auto"/>
              <w:right w:val="single" w:sz="4" w:space="0" w:color="auto"/>
            </w:tcBorders>
            <w:shd w:val="clear" w:color="auto" w:fill="auto"/>
            <w:noWrap/>
            <w:vAlign w:val="center"/>
          </w:tcPr>
          <w:p w14:paraId="7ACD2201" w14:textId="57E9CCD4" w:rsidR="008C0CFF" w:rsidRPr="008C0CFF" w:rsidRDefault="008C0CFF" w:rsidP="008C0CFF">
            <w:pPr>
              <w:jc w:val="center"/>
              <w:rPr>
                <w:color w:val="000000"/>
                <w:sz w:val="22"/>
              </w:rPr>
            </w:pPr>
            <w:r w:rsidRPr="008C0CFF">
              <w:rPr>
                <w:color w:val="000000"/>
                <w:sz w:val="22"/>
              </w:rPr>
              <w:t>1,500</w:t>
            </w:r>
          </w:p>
        </w:tc>
        <w:tc>
          <w:tcPr>
            <w:tcW w:w="1350" w:type="dxa"/>
            <w:tcBorders>
              <w:top w:val="nil"/>
              <w:left w:val="nil"/>
              <w:bottom w:val="single" w:sz="4" w:space="0" w:color="auto"/>
              <w:right w:val="single" w:sz="4" w:space="0" w:color="auto"/>
            </w:tcBorders>
            <w:shd w:val="clear" w:color="auto" w:fill="auto"/>
            <w:noWrap/>
            <w:vAlign w:val="center"/>
          </w:tcPr>
          <w:p w14:paraId="2A9E891C" w14:textId="3F63D54E" w:rsidR="008C0CFF" w:rsidRPr="008C0CFF" w:rsidRDefault="008C0CFF" w:rsidP="008C0CFF">
            <w:pPr>
              <w:jc w:val="center"/>
              <w:rPr>
                <w:color w:val="000000"/>
                <w:sz w:val="22"/>
              </w:rPr>
            </w:pPr>
            <w:r w:rsidRPr="008C0CFF">
              <w:rPr>
                <w:color w:val="000000"/>
                <w:sz w:val="22"/>
              </w:rPr>
              <w:t>720</w:t>
            </w:r>
          </w:p>
        </w:tc>
      </w:tr>
      <w:tr w:rsidR="008C0CFF" w:rsidRPr="0039677D" w14:paraId="7C9CCF70" w14:textId="77777777" w:rsidTr="00BD24CE">
        <w:trPr>
          <w:trHeight w:val="288"/>
        </w:trPr>
        <w:tc>
          <w:tcPr>
            <w:tcW w:w="1349"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14:paraId="2526F09D" w14:textId="71710C14" w:rsidR="008C0CFF" w:rsidRPr="00BE1863" w:rsidRDefault="008C0CFF" w:rsidP="008C0CFF">
            <w:pPr>
              <w:jc w:val="center"/>
              <w:rPr>
                <w:b/>
                <w:bCs/>
                <w:color w:val="000000"/>
                <w:sz w:val="22"/>
              </w:rPr>
            </w:pPr>
            <w:r>
              <w:rPr>
                <w:b/>
                <w:bCs/>
                <w:color w:val="000000"/>
                <w:sz w:val="22"/>
              </w:rPr>
              <w:t>Total</w:t>
            </w:r>
          </w:p>
        </w:tc>
        <w:tc>
          <w:tcPr>
            <w:tcW w:w="1349" w:type="dxa"/>
            <w:tcBorders>
              <w:top w:val="single" w:sz="4" w:space="0" w:color="auto"/>
              <w:left w:val="nil"/>
              <w:bottom w:val="single" w:sz="4" w:space="0" w:color="auto"/>
              <w:right w:val="single" w:sz="4" w:space="0" w:color="auto"/>
            </w:tcBorders>
            <w:shd w:val="clear" w:color="auto" w:fill="BFBFBF" w:themeFill="background1" w:themeFillShade="BF"/>
            <w:vAlign w:val="center"/>
          </w:tcPr>
          <w:p w14:paraId="0D937AD0" w14:textId="7B92F539" w:rsidR="008C0CFF" w:rsidRPr="008C0CFF" w:rsidRDefault="008C0CFF" w:rsidP="008C0CFF">
            <w:pPr>
              <w:jc w:val="center"/>
              <w:rPr>
                <w:b/>
                <w:bCs/>
                <w:color w:val="000000"/>
                <w:sz w:val="22"/>
              </w:rPr>
            </w:pPr>
            <w:r w:rsidRPr="008C0CFF">
              <w:rPr>
                <w:b/>
                <w:bCs/>
                <w:color w:val="000000"/>
                <w:sz w:val="22"/>
              </w:rPr>
              <w:t>28,421</w:t>
            </w:r>
          </w:p>
        </w:tc>
        <w:tc>
          <w:tcPr>
            <w:tcW w:w="1349" w:type="dxa"/>
            <w:tcBorders>
              <w:top w:val="nil"/>
              <w:left w:val="single" w:sz="4" w:space="0" w:color="auto"/>
              <w:bottom w:val="single" w:sz="4" w:space="0" w:color="auto"/>
              <w:right w:val="single" w:sz="4" w:space="0" w:color="auto"/>
            </w:tcBorders>
            <w:shd w:val="clear" w:color="auto" w:fill="BFBFBF" w:themeFill="background1" w:themeFillShade="BF"/>
            <w:noWrap/>
            <w:vAlign w:val="center"/>
          </w:tcPr>
          <w:p w14:paraId="61E977FF" w14:textId="759CB18F" w:rsidR="008C0CFF" w:rsidRPr="008C0CFF" w:rsidRDefault="008C0CFF" w:rsidP="008C0CFF">
            <w:pPr>
              <w:jc w:val="center"/>
              <w:rPr>
                <w:b/>
                <w:bCs/>
                <w:color w:val="000000"/>
                <w:sz w:val="22"/>
              </w:rPr>
            </w:pPr>
            <w:r w:rsidRPr="008C0CFF">
              <w:rPr>
                <w:b/>
                <w:bCs/>
                <w:color w:val="000000"/>
                <w:sz w:val="22"/>
              </w:rPr>
              <w:t>32,300</w:t>
            </w:r>
          </w:p>
        </w:tc>
        <w:tc>
          <w:tcPr>
            <w:tcW w:w="1350" w:type="dxa"/>
            <w:tcBorders>
              <w:top w:val="nil"/>
              <w:left w:val="nil"/>
              <w:bottom w:val="single" w:sz="4" w:space="0" w:color="auto"/>
              <w:right w:val="single" w:sz="4" w:space="0" w:color="auto"/>
            </w:tcBorders>
            <w:shd w:val="clear" w:color="auto" w:fill="BFBFBF" w:themeFill="background1" w:themeFillShade="BF"/>
            <w:noWrap/>
            <w:vAlign w:val="center"/>
            <w:hideMark/>
          </w:tcPr>
          <w:p w14:paraId="54AD5DFB" w14:textId="28A5389A" w:rsidR="008C0CFF" w:rsidRPr="008C0CFF" w:rsidRDefault="008C0CFF" w:rsidP="008C0CFF">
            <w:pPr>
              <w:jc w:val="center"/>
              <w:rPr>
                <w:b/>
                <w:bCs/>
                <w:color w:val="000000"/>
                <w:sz w:val="22"/>
              </w:rPr>
            </w:pPr>
            <w:r w:rsidRPr="008C0CFF">
              <w:rPr>
                <w:b/>
                <w:bCs/>
                <w:color w:val="000000"/>
                <w:sz w:val="22"/>
              </w:rPr>
              <w:t>570</w:t>
            </w:r>
          </w:p>
        </w:tc>
        <w:tc>
          <w:tcPr>
            <w:tcW w:w="1349" w:type="dxa"/>
            <w:tcBorders>
              <w:top w:val="nil"/>
              <w:left w:val="nil"/>
              <w:bottom w:val="single" w:sz="4" w:space="0" w:color="auto"/>
              <w:right w:val="single" w:sz="4" w:space="0" w:color="auto"/>
            </w:tcBorders>
            <w:shd w:val="clear" w:color="auto" w:fill="BFBFBF" w:themeFill="background1" w:themeFillShade="BF"/>
            <w:noWrap/>
            <w:vAlign w:val="center"/>
          </w:tcPr>
          <w:p w14:paraId="19FB590D" w14:textId="78A21FC0" w:rsidR="008C0CFF" w:rsidRPr="008C0CFF" w:rsidRDefault="008C0CFF" w:rsidP="008C0CFF">
            <w:pPr>
              <w:jc w:val="center"/>
              <w:rPr>
                <w:b/>
                <w:bCs/>
                <w:color w:val="000000"/>
                <w:sz w:val="22"/>
              </w:rPr>
            </w:pPr>
            <w:r w:rsidRPr="008C0CFF">
              <w:rPr>
                <w:b/>
                <w:bCs/>
                <w:color w:val="000000"/>
                <w:sz w:val="22"/>
              </w:rPr>
              <w:t>24,000</w:t>
            </w:r>
          </w:p>
        </w:tc>
        <w:tc>
          <w:tcPr>
            <w:tcW w:w="1349" w:type="dxa"/>
            <w:tcBorders>
              <w:top w:val="nil"/>
              <w:left w:val="nil"/>
              <w:bottom w:val="single" w:sz="4" w:space="0" w:color="auto"/>
              <w:right w:val="single" w:sz="4" w:space="0" w:color="auto"/>
            </w:tcBorders>
            <w:shd w:val="clear" w:color="auto" w:fill="BFBFBF" w:themeFill="background1" w:themeFillShade="BF"/>
            <w:noWrap/>
            <w:vAlign w:val="center"/>
          </w:tcPr>
          <w:p w14:paraId="5A940CA8" w14:textId="32345392" w:rsidR="008C0CFF" w:rsidRPr="008C0CFF" w:rsidRDefault="008C0CFF" w:rsidP="008C0CFF">
            <w:pPr>
              <w:jc w:val="center"/>
              <w:rPr>
                <w:b/>
                <w:bCs/>
                <w:color w:val="000000"/>
                <w:sz w:val="22"/>
              </w:rPr>
            </w:pPr>
            <w:r w:rsidRPr="008C0CFF">
              <w:rPr>
                <w:b/>
                <w:bCs/>
                <w:color w:val="000000"/>
                <w:sz w:val="22"/>
              </w:rPr>
              <w:t>20,800</w:t>
            </w:r>
          </w:p>
        </w:tc>
        <w:tc>
          <w:tcPr>
            <w:tcW w:w="1350" w:type="dxa"/>
            <w:tcBorders>
              <w:top w:val="nil"/>
              <w:left w:val="nil"/>
              <w:bottom w:val="single" w:sz="4" w:space="0" w:color="auto"/>
              <w:right w:val="single" w:sz="4" w:space="0" w:color="auto"/>
            </w:tcBorders>
            <w:shd w:val="clear" w:color="auto" w:fill="BFBFBF" w:themeFill="background1" w:themeFillShade="BF"/>
            <w:noWrap/>
            <w:vAlign w:val="center"/>
          </w:tcPr>
          <w:p w14:paraId="7CB66710" w14:textId="137FF78F" w:rsidR="008C0CFF" w:rsidRPr="008C0CFF" w:rsidRDefault="008C0CFF" w:rsidP="008C0CFF">
            <w:pPr>
              <w:jc w:val="center"/>
              <w:rPr>
                <w:b/>
                <w:bCs/>
                <w:color w:val="000000"/>
                <w:sz w:val="22"/>
              </w:rPr>
            </w:pPr>
            <w:r w:rsidRPr="008C0CFF">
              <w:rPr>
                <w:b/>
                <w:bCs/>
                <w:color w:val="000000"/>
                <w:sz w:val="22"/>
              </w:rPr>
              <w:t>10,700</w:t>
            </w:r>
          </w:p>
        </w:tc>
      </w:tr>
      <w:tr w:rsidR="008C0CFF" w:rsidRPr="0039677D" w14:paraId="3A2CC2F8" w14:textId="77777777" w:rsidTr="00BD24CE">
        <w:trPr>
          <w:trHeight w:val="288"/>
        </w:trPr>
        <w:tc>
          <w:tcPr>
            <w:tcW w:w="1349"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14:paraId="26CEFAFE" w14:textId="261A8D9A" w:rsidR="008C0CFF" w:rsidRPr="00BE1863" w:rsidRDefault="008C0CFF" w:rsidP="008C0CFF">
            <w:pPr>
              <w:jc w:val="center"/>
              <w:rPr>
                <w:b/>
                <w:bCs/>
                <w:color w:val="000000"/>
                <w:sz w:val="22"/>
              </w:rPr>
            </w:pPr>
            <w:r w:rsidRPr="00BE1863">
              <w:rPr>
                <w:b/>
                <w:bCs/>
                <w:color w:val="000000"/>
                <w:sz w:val="22"/>
              </w:rPr>
              <w:t>A</w:t>
            </w:r>
            <w:r>
              <w:rPr>
                <w:b/>
                <w:bCs/>
                <w:color w:val="000000"/>
                <w:sz w:val="22"/>
              </w:rPr>
              <w:t>verage</w:t>
            </w:r>
          </w:p>
        </w:tc>
        <w:tc>
          <w:tcPr>
            <w:tcW w:w="1349" w:type="dxa"/>
            <w:tcBorders>
              <w:top w:val="single" w:sz="4" w:space="0" w:color="auto"/>
              <w:left w:val="nil"/>
              <w:bottom w:val="single" w:sz="4" w:space="0" w:color="auto"/>
              <w:right w:val="single" w:sz="4" w:space="0" w:color="auto"/>
            </w:tcBorders>
            <w:shd w:val="clear" w:color="auto" w:fill="BFBFBF" w:themeFill="background1" w:themeFillShade="BF"/>
            <w:vAlign w:val="center"/>
          </w:tcPr>
          <w:p w14:paraId="0E28B078" w14:textId="18235FF2" w:rsidR="008C0CFF" w:rsidRPr="008C0CFF" w:rsidRDefault="008C0CFF" w:rsidP="008C0CFF">
            <w:pPr>
              <w:jc w:val="center"/>
              <w:rPr>
                <w:b/>
                <w:bCs/>
                <w:color w:val="000000"/>
                <w:sz w:val="22"/>
              </w:rPr>
            </w:pPr>
            <w:r w:rsidRPr="008C0CFF">
              <w:rPr>
                <w:b/>
                <w:bCs/>
                <w:color w:val="000000"/>
                <w:sz w:val="22"/>
              </w:rPr>
              <w:t>2,842</w:t>
            </w:r>
          </w:p>
        </w:tc>
        <w:tc>
          <w:tcPr>
            <w:tcW w:w="1349" w:type="dxa"/>
            <w:tcBorders>
              <w:top w:val="nil"/>
              <w:left w:val="single" w:sz="4" w:space="0" w:color="auto"/>
              <w:bottom w:val="single" w:sz="4" w:space="0" w:color="auto"/>
              <w:right w:val="single" w:sz="4" w:space="0" w:color="auto"/>
            </w:tcBorders>
            <w:shd w:val="clear" w:color="auto" w:fill="BFBFBF" w:themeFill="background1" w:themeFillShade="BF"/>
            <w:noWrap/>
            <w:vAlign w:val="center"/>
          </w:tcPr>
          <w:p w14:paraId="6D7FAD20" w14:textId="356EFDDC" w:rsidR="008C0CFF" w:rsidRPr="008C0CFF" w:rsidRDefault="008C0CFF" w:rsidP="008C0CFF">
            <w:pPr>
              <w:jc w:val="center"/>
              <w:rPr>
                <w:b/>
                <w:bCs/>
                <w:color w:val="000000"/>
                <w:sz w:val="22"/>
              </w:rPr>
            </w:pPr>
            <w:r w:rsidRPr="008C0CFF">
              <w:rPr>
                <w:b/>
                <w:bCs/>
                <w:color w:val="000000"/>
                <w:sz w:val="22"/>
              </w:rPr>
              <w:t>3,200</w:t>
            </w:r>
          </w:p>
        </w:tc>
        <w:tc>
          <w:tcPr>
            <w:tcW w:w="1350" w:type="dxa"/>
            <w:tcBorders>
              <w:top w:val="nil"/>
              <w:left w:val="nil"/>
              <w:bottom w:val="single" w:sz="4" w:space="0" w:color="auto"/>
              <w:right w:val="single" w:sz="4" w:space="0" w:color="auto"/>
            </w:tcBorders>
            <w:shd w:val="clear" w:color="auto" w:fill="BFBFBF" w:themeFill="background1" w:themeFillShade="BF"/>
            <w:noWrap/>
            <w:vAlign w:val="center"/>
            <w:hideMark/>
          </w:tcPr>
          <w:p w14:paraId="56219012" w14:textId="6DA07515" w:rsidR="008C0CFF" w:rsidRPr="008C0CFF" w:rsidRDefault="008C0CFF" w:rsidP="008C0CFF">
            <w:pPr>
              <w:jc w:val="center"/>
              <w:rPr>
                <w:b/>
                <w:bCs/>
                <w:color w:val="000000"/>
                <w:sz w:val="22"/>
              </w:rPr>
            </w:pPr>
            <w:r w:rsidRPr="008C0CFF">
              <w:rPr>
                <w:b/>
                <w:bCs/>
                <w:color w:val="000000"/>
                <w:sz w:val="22"/>
              </w:rPr>
              <w:t>114</w:t>
            </w:r>
          </w:p>
        </w:tc>
        <w:tc>
          <w:tcPr>
            <w:tcW w:w="1349" w:type="dxa"/>
            <w:tcBorders>
              <w:top w:val="nil"/>
              <w:left w:val="nil"/>
              <w:bottom w:val="single" w:sz="4" w:space="0" w:color="auto"/>
              <w:right w:val="single" w:sz="4" w:space="0" w:color="auto"/>
            </w:tcBorders>
            <w:shd w:val="clear" w:color="auto" w:fill="BFBFBF" w:themeFill="background1" w:themeFillShade="BF"/>
            <w:noWrap/>
            <w:vAlign w:val="center"/>
          </w:tcPr>
          <w:p w14:paraId="60A0EEA9" w14:textId="266FB2F6" w:rsidR="008C0CFF" w:rsidRPr="008C0CFF" w:rsidRDefault="008C0CFF" w:rsidP="008C0CFF">
            <w:pPr>
              <w:jc w:val="center"/>
              <w:rPr>
                <w:b/>
                <w:bCs/>
                <w:color w:val="000000"/>
                <w:sz w:val="22"/>
              </w:rPr>
            </w:pPr>
            <w:r w:rsidRPr="008C0CFF">
              <w:rPr>
                <w:b/>
                <w:bCs/>
                <w:color w:val="000000"/>
                <w:sz w:val="22"/>
              </w:rPr>
              <w:t>2,400</w:t>
            </w:r>
          </w:p>
        </w:tc>
        <w:tc>
          <w:tcPr>
            <w:tcW w:w="1349" w:type="dxa"/>
            <w:tcBorders>
              <w:top w:val="nil"/>
              <w:left w:val="nil"/>
              <w:bottom w:val="single" w:sz="4" w:space="0" w:color="auto"/>
              <w:right w:val="single" w:sz="4" w:space="0" w:color="auto"/>
            </w:tcBorders>
            <w:shd w:val="clear" w:color="auto" w:fill="BFBFBF" w:themeFill="background1" w:themeFillShade="BF"/>
            <w:noWrap/>
            <w:vAlign w:val="center"/>
          </w:tcPr>
          <w:p w14:paraId="18F0A75B" w14:textId="4B23D133" w:rsidR="008C0CFF" w:rsidRPr="008C0CFF" w:rsidRDefault="008C0CFF" w:rsidP="008C0CFF">
            <w:pPr>
              <w:jc w:val="center"/>
              <w:rPr>
                <w:b/>
                <w:bCs/>
                <w:color w:val="000000"/>
                <w:sz w:val="22"/>
              </w:rPr>
            </w:pPr>
            <w:r w:rsidRPr="008C0CFF">
              <w:rPr>
                <w:b/>
                <w:bCs/>
                <w:color w:val="000000"/>
                <w:sz w:val="22"/>
              </w:rPr>
              <w:t>2,100</w:t>
            </w:r>
          </w:p>
        </w:tc>
        <w:tc>
          <w:tcPr>
            <w:tcW w:w="1350" w:type="dxa"/>
            <w:tcBorders>
              <w:top w:val="nil"/>
              <w:left w:val="nil"/>
              <w:bottom w:val="single" w:sz="4" w:space="0" w:color="auto"/>
              <w:right w:val="single" w:sz="4" w:space="0" w:color="auto"/>
            </w:tcBorders>
            <w:shd w:val="clear" w:color="auto" w:fill="BFBFBF" w:themeFill="background1" w:themeFillShade="BF"/>
            <w:noWrap/>
            <w:vAlign w:val="center"/>
          </w:tcPr>
          <w:p w14:paraId="63511F5B" w14:textId="5B312C61" w:rsidR="008C0CFF" w:rsidRPr="008C0CFF" w:rsidRDefault="008C0CFF" w:rsidP="008C0CFF">
            <w:pPr>
              <w:jc w:val="center"/>
              <w:rPr>
                <w:b/>
                <w:bCs/>
                <w:color w:val="000000"/>
                <w:sz w:val="22"/>
              </w:rPr>
            </w:pPr>
            <w:r w:rsidRPr="008C0CFF">
              <w:rPr>
                <w:b/>
                <w:bCs/>
                <w:color w:val="000000"/>
                <w:sz w:val="22"/>
              </w:rPr>
              <w:t>1,100</w:t>
            </w:r>
          </w:p>
        </w:tc>
      </w:tr>
    </w:tbl>
    <w:p w14:paraId="281D283C" w14:textId="0C09F6D1" w:rsidR="0039109C" w:rsidRDefault="0039109C" w:rsidP="00A22996"/>
    <w:p w14:paraId="5BFC39A9" w14:textId="3C8A72A5" w:rsidR="002861DF" w:rsidRDefault="00E1547B" w:rsidP="00A22996">
      <w:r>
        <w:t>I</w:t>
      </w:r>
      <w:r w:rsidR="002861DF">
        <w:t>n the score analysis, Phelps recharge accretions occurring below Overton were discounted 4% based on distance below Overton to account for that portion of the Program’s associated habitat reach not benefitting from those contributions to the river.  If applied in this accounting analysis, average annual accretions reaching Grand Island drop from 2,078 AF to 2,044 AF, and average annual deficit reductions are reduced from 1,066 AF to 1,049 AF.</w:t>
      </w:r>
      <w:r w:rsidR="00A66517">
        <w:rPr>
          <w:rStyle w:val="FootnoteReference"/>
          <w:szCs w:val="24"/>
        </w:rPr>
        <w:footnoteReference w:id="10"/>
      </w:r>
    </w:p>
    <w:p w14:paraId="215160D4" w14:textId="40249826" w:rsidR="002861DF" w:rsidRDefault="002861DF" w:rsidP="00A22996"/>
    <w:p w14:paraId="56EDBEB3" w14:textId="38FA8FAC" w:rsidR="00D56D24" w:rsidRDefault="00997247" w:rsidP="00A22996">
      <w:r>
        <w:t>A</w:t>
      </w:r>
      <w:r w:rsidR="00D56D24">
        <w:t xml:space="preserve">nalysis of the Cook </w:t>
      </w:r>
      <w:r w:rsidR="005B7476">
        <w:t>w</w:t>
      </w:r>
      <w:r w:rsidR="00D56D24">
        <w:t>ell</w:t>
      </w:r>
      <w:r>
        <w:t xml:space="preserve"> data</w:t>
      </w:r>
      <w:r w:rsidR="00D56D24">
        <w:t xml:space="preserve"> indicates that 570 AF pumped between October 2016 and December 2020 resulted in cumulative depletions</w:t>
      </w:r>
      <w:r w:rsidR="008C2755">
        <w:t xml:space="preserve"> totaling 399.5 AF</w:t>
      </w:r>
      <w:r w:rsidR="00D56D24">
        <w:t xml:space="preserve"> over the same period, for a net </w:t>
      </w:r>
      <w:r w:rsidR="00CD6ACD">
        <w:t>addition</w:t>
      </w:r>
      <w:r w:rsidR="007D773C">
        <w:t xml:space="preserve"> to the river</w:t>
      </w:r>
      <w:r w:rsidR="00D56D24">
        <w:t xml:space="preserve"> of 171 AF or 34 AFY.  </w:t>
      </w:r>
      <w:r>
        <w:t>C</w:t>
      </w:r>
      <w:r w:rsidR="007D773C">
        <w:t xml:space="preserve">omparison of Phelps recharge accounting with and without the Cook </w:t>
      </w:r>
      <w:r w:rsidR="005B7476">
        <w:t>w</w:t>
      </w:r>
      <w:r w:rsidR="007D773C">
        <w:t>ell shows the difference in total accretions to be the same 171 AF</w:t>
      </w:r>
      <w:r w:rsidR="00D56D24">
        <w:t xml:space="preserve">.  </w:t>
      </w:r>
      <w:r>
        <w:t>However, g</w:t>
      </w:r>
      <w:r w:rsidR="00451FB5">
        <w:t>iven the preferential timing of pumping to occur during shortages</w:t>
      </w:r>
      <w:r w:rsidR="00E42740">
        <w:t xml:space="preserve">, </w:t>
      </w:r>
      <w:r>
        <w:t>and the subsequent timing and amounts</w:t>
      </w:r>
      <w:r w:rsidR="002B57CB">
        <w:t xml:space="preserve"> or rates</w:t>
      </w:r>
      <w:r>
        <w:t xml:space="preserve"> of depletions, </w:t>
      </w:r>
      <w:r w:rsidR="00E42740">
        <w:t xml:space="preserve">a comparison of </w:t>
      </w:r>
      <w:r>
        <w:t xml:space="preserve">target flow deficit reductions at Grand Island </w:t>
      </w:r>
      <w:r w:rsidR="00451FB5">
        <w:t xml:space="preserve">from Phelps recharge with and without the Cook </w:t>
      </w:r>
      <w:r w:rsidR="005B7476">
        <w:t>w</w:t>
      </w:r>
      <w:r w:rsidR="00451FB5">
        <w:t>ell</w:t>
      </w:r>
      <w:r w:rsidR="00E42740">
        <w:t xml:space="preserve"> reveals an actual net benefit of 192 AF</w:t>
      </w:r>
      <w:r w:rsidR="00873180">
        <w:t xml:space="preserve"> over 5 years</w:t>
      </w:r>
      <w:r w:rsidR="00E42740">
        <w:t xml:space="preserve"> or 38.4 AFY.</w:t>
      </w:r>
    </w:p>
    <w:p w14:paraId="42AECD06" w14:textId="3E04B3D3" w:rsidR="00966D34" w:rsidRDefault="00966D34" w:rsidP="00A22996"/>
    <w:p w14:paraId="5573681D" w14:textId="16605E3F" w:rsidR="00966D34" w:rsidRDefault="00966D34" w:rsidP="00A22996">
      <w:r>
        <w:t xml:space="preserve">Overall results of the combined Phelps recharge and </w:t>
      </w:r>
      <w:proofErr w:type="gramStart"/>
      <w:r>
        <w:t>Cook</w:t>
      </w:r>
      <w:proofErr w:type="gramEnd"/>
      <w:r>
        <w:t xml:space="preserve"> </w:t>
      </w:r>
      <w:r w:rsidR="005B7476">
        <w:t>w</w:t>
      </w:r>
      <w:r>
        <w:t>ell project</w:t>
      </w:r>
      <w:r w:rsidR="006469B8">
        <w:t xml:space="preserve"> through the end of 2020 </w:t>
      </w:r>
      <w:r>
        <w:t>can be summed up as follows</w:t>
      </w:r>
      <w:r w:rsidR="00162AEF">
        <w:t xml:space="preserve"> (all values estimated through 12/31/2020)</w:t>
      </w:r>
      <w:r>
        <w:t>:</w:t>
      </w:r>
    </w:p>
    <w:p w14:paraId="2CB0856C" w14:textId="048871F2" w:rsidR="00966D34" w:rsidRDefault="00966D34" w:rsidP="00742DF4">
      <w:pPr>
        <w:rPr>
          <w:szCs w:val="24"/>
        </w:rPr>
      </w:pPr>
    </w:p>
    <w:p w14:paraId="01880AC3" w14:textId="3E9EFAA8" w:rsidR="00966D34" w:rsidRDefault="00966D34" w:rsidP="00966D34">
      <w:pPr>
        <w:pStyle w:val="ListParagraph"/>
        <w:numPr>
          <w:ilvl w:val="0"/>
          <w:numId w:val="15"/>
        </w:numPr>
        <w:rPr>
          <w:szCs w:val="24"/>
        </w:rPr>
      </w:pPr>
      <w:r>
        <w:rPr>
          <w:szCs w:val="24"/>
        </w:rPr>
        <w:t>Total recharge = 32,</w:t>
      </w:r>
      <w:r w:rsidR="006469B8">
        <w:rPr>
          <w:szCs w:val="24"/>
        </w:rPr>
        <w:t>300</w:t>
      </w:r>
      <w:r>
        <w:rPr>
          <w:szCs w:val="24"/>
        </w:rPr>
        <w:t xml:space="preserve"> AF</w:t>
      </w:r>
    </w:p>
    <w:p w14:paraId="7751A212" w14:textId="3E30C9CF" w:rsidR="00966D34" w:rsidRDefault="00966D34" w:rsidP="00966D34">
      <w:pPr>
        <w:pStyle w:val="ListParagraph"/>
        <w:numPr>
          <w:ilvl w:val="0"/>
          <w:numId w:val="15"/>
        </w:numPr>
        <w:rPr>
          <w:szCs w:val="24"/>
        </w:rPr>
      </w:pPr>
      <w:r>
        <w:rPr>
          <w:szCs w:val="24"/>
        </w:rPr>
        <w:t>Total river returns</w:t>
      </w:r>
      <w:r w:rsidR="005B7476">
        <w:rPr>
          <w:szCs w:val="24"/>
        </w:rPr>
        <w:t>, including Cook well pumping</w:t>
      </w:r>
      <w:r w:rsidR="00162AEF">
        <w:rPr>
          <w:szCs w:val="24"/>
        </w:rPr>
        <w:t xml:space="preserve"> </w:t>
      </w:r>
      <w:r>
        <w:rPr>
          <w:szCs w:val="24"/>
        </w:rPr>
        <w:t xml:space="preserve">= </w:t>
      </w:r>
      <w:r w:rsidR="006469B8">
        <w:rPr>
          <w:szCs w:val="24"/>
        </w:rPr>
        <w:t>24,000</w:t>
      </w:r>
      <w:r>
        <w:rPr>
          <w:szCs w:val="24"/>
        </w:rPr>
        <w:t xml:space="preserve"> AF</w:t>
      </w:r>
    </w:p>
    <w:p w14:paraId="24740BDC" w14:textId="4BDC9095" w:rsidR="00966D34" w:rsidRDefault="00966D34" w:rsidP="0091241F">
      <w:pPr>
        <w:pStyle w:val="ListParagraph"/>
        <w:numPr>
          <w:ilvl w:val="1"/>
          <w:numId w:val="15"/>
        </w:numPr>
        <w:rPr>
          <w:szCs w:val="24"/>
        </w:rPr>
      </w:pPr>
      <w:r>
        <w:rPr>
          <w:szCs w:val="24"/>
        </w:rPr>
        <w:t>Average accretions to the river = 3.5 cfs</w:t>
      </w:r>
    </w:p>
    <w:p w14:paraId="6699ABE3" w14:textId="77777777" w:rsidR="006469B8" w:rsidRDefault="006469B8" w:rsidP="00966D34">
      <w:pPr>
        <w:pStyle w:val="ListParagraph"/>
        <w:numPr>
          <w:ilvl w:val="0"/>
          <w:numId w:val="15"/>
        </w:numPr>
        <w:rPr>
          <w:szCs w:val="24"/>
        </w:rPr>
      </w:pPr>
      <w:r>
        <w:rPr>
          <w:szCs w:val="24"/>
        </w:rPr>
        <w:t>Total return flows at Grand Island = 20,800 AF</w:t>
      </w:r>
    </w:p>
    <w:p w14:paraId="717E97F9" w14:textId="71758296" w:rsidR="0091241F" w:rsidRDefault="0091241F" w:rsidP="0091241F">
      <w:pPr>
        <w:pStyle w:val="ListParagraph"/>
        <w:numPr>
          <w:ilvl w:val="1"/>
          <w:numId w:val="15"/>
        </w:numPr>
        <w:rPr>
          <w:szCs w:val="24"/>
        </w:rPr>
      </w:pPr>
      <w:r>
        <w:rPr>
          <w:szCs w:val="24"/>
        </w:rPr>
        <w:t>Average accretions reaching Grand Island = 3.1 cfs</w:t>
      </w:r>
    </w:p>
    <w:p w14:paraId="2B6735B8" w14:textId="18D66EA9" w:rsidR="006469B8" w:rsidRDefault="006469B8" w:rsidP="00966D34">
      <w:pPr>
        <w:pStyle w:val="ListParagraph"/>
        <w:numPr>
          <w:ilvl w:val="0"/>
          <w:numId w:val="15"/>
        </w:numPr>
        <w:rPr>
          <w:szCs w:val="24"/>
        </w:rPr>
      </w:pPr>
      <w:r>
        <w:rPr>
          <w:szCs w:val="24"/>
        </w:rPr>
        <w:lastRenderedPageBreak/>
        <w:t>Total reductions to target flow deficits</w:t>
      </w:r>
      <w:r w:rsidR="006B6699">
        <w:rPr>
          <w:szCs w:val="24"/>
        </w:rPr>
        <w:t xml:space="preserve"> at Grand Island</w:t>
      </w:r>
      <w:r>
        <w:rPr>
          <w:szCs w:val="24"/>
        </w:rPr>
        <w:t xml:space="preserve"> = 10,700 AF</w:t>
      </w:r>
    </w:p>
    <w:p w14:paraId="7ADDF22A" w14:textId="77777777" w:rsidR="006469B8" w:rsidRDefault="006469B8" w:rsidP="00966D34">
      <w:pPr>
        <w:pStyle w:val="ListParagraph"/>
        <w:numPr>
          <w:ilvl w:val="0"/>
          <w:numId w:val="15"/>
        </w:numPr>
        <w:rPr>
          <w:szCs w:val="24"/>
        </w:rPr>
      </w:pPr>
      <w:r>
        <w:rPr>
          <w:szCs w:val="24"/>
        </w:rPr>
        <w:t>Deficit reductions equal</w:t>
      </w:r>
    </w:p>
    <w:p w14:paraId="3105A0B9" w14:textId="77777777" w:rsidR="006469B8" w:rsidRDefault="006469B8" w:rsidP="006469B8">
      <w:pPr>
        <w:pStyle w:val="ListParagraph"/>
        <w:numPr>
          <w:ilvl w:val="1"/>
          <w:numId w:val="15"/>
        </w:numPr>
        <w:rPr>
          <w:szCs w:val="24"/>
        </w:rPr>
      </w:pPr>
      <w:r>
        <w:rPr>
          <w:szCs w:val="24"/>
        </w:rPr>
        <w:t>51% of return flows at Grand Island</w:t>
      </w:r>
    </w:p>
    <w:p w14:paraId="6302A39B" w14:textId="77777777" w:rsidR="006469B8" w:rsidRDefault="006469B8" w:rsidP="006469B8">
      <w:pPr>
        <w:pStyle w:val="ListParagraph"/>
        <w:numPr>
          <w:ilvl w:val="1"/>
          <w:numId w:val="15"/>
        </w:numPr>
        <w:rPr>
          <w:szCs w:val="24"/>
        </w:rPr>
      </w:pPr>
      <w:r>
        <w:rPr>
          <w:szCs w:val="24"/>
        </w:rPr>
        <w:t>44% of total river returns</w:t>
      </w:r>
    </w:p>
    <w:p w14:paraId="267AFEAB" w14:textId="77777777" w:rsidR="006469B8" w:rsidRDefault="006469B8" w:rsidP="006469B8">
      <w:pPr>
        <w:pStyle w:val="ListParagraph"/>
        <w:numPr>
          <w:ilvl w:val="1"/>
          <w:numId w:val="15"/>
        </w:numPr>
        <w:rPr>
          <w:szCs w:val="24"/>
        </w:rPr>
      </w:pPr>
      <w:r>
        <w:rPr>
          <w:szCs w:val="24"/>
        </w:rPr>
        <w:t>33% of total recharge</w:t>
      </w:r>
    </w:p>
    <w:p w14:paraId="0B62A56A" w14:textId="77777777" w:rsidR="006469B8" w:rsidRDefault="006469B8" w:rsidP="006469B8">
      <w:pPr>
        <w:rPr>
          <w:szCs w:val="24"/>
        </w:rPr>
      </w:pPr>
    </w:p>
    <w:p w14:paraId="28C385B3" w14:textId="1A3F7CF1" w:rsidR="00FB1651" w:rsidRDefault="006469B8" w:rsidP="00742DF4">
      <w:pPr>
        <w:rPr>
          <w:szCs w:val="24"/>
        </w:rPr>
      </w:pPr>
      <w:r>
        <w:rPr>
          <w:szCs w:val="24"/>
        </w:rPr>
        <w:t xml:space="preserve">The volume remaining in the aquifer </w:t>
      </w:r>
      <w:r w:rsidR="00D76097">
        <w:rPr>
          <w:szCs w:val="24"/>
        </w:rPr>
        <w:t>and potentially available for recapture operations was about 8,300 AF, less future accretions to the river and depletions from pumping, both of which are ongoing continuously.</w:t>
      </w:r>
    </w:p>
    <w:p w14:paraId="7ABCB84F" w14:textId="77777777" w:rsidR="00494FEF" w:rsidRDefault="00494FEF" w:rsidP="00B9798C">
      <w:pPr>
        <w:pStyle w:val="ListParagraph"/>
        <w:numPr>
          <w:ilvl w:val="0"/>
          <w:numId w:val="4"/>
        </w:numPr>
        <w:spacing w:before="240" w:after="240"/>
        <w:rPr>
          <w:b/>
        </w:rPr>
      </w:pPr>
      <w:r>
        <w:rPr>
          <w:b/>
        </w:rPr>
        <w:t>Elwood Reservoir Recharge Project</w:t>
      </w:r>
    </w:p>
    <w:p w14:paraId="59BF88D4" w14:textId="541AC241" w:rsidR="004446AA" w:rsidRDefault="00524305" w:rsidP="0084299F">
      <w:r>
        <w:t xml:space="preserve">Elwood Reservoir was constructed in the late-1970s </w:t>
      </w:r>
      <w:r w:rsidR="000F44DE">
        <w:t xml:space="preserve">by CNPPID </w:t>
      </w:r>
      <w:r>
        <w:t>to provide supplemental irrigation water to the E-65 canal system.  The reservoir sits on top of porous soils and leaks significantly into the underlying groundwater aquifer.</w:t>
      </w:r>
      <w:r w:rsidR="005E6CBC">
        <w:t xml:space="preserve">  As a </w:t>
      </w:r>
      <w:r w:rsidR="005A1A2F">
        <w:t>WAP</w:t>
      </w:r>
      <w:r w:rsidR="005E6CBC">
        <w:t xml:space="preserve"> project for the Program, Elwood recharge </w:t>
      </w:r>
      <w:r w:rsidR="004446AA">
        <w:t>functions as a means to re-time excess flows, which are diverted at the CNPPID’s Tri-County Supply Canal headgate and carried through that system to the E-65 Canal</w:t>
      </w:r>
      <w:r w:rsidR="00D64D87">
        <w:t xml:space="preserve">, </w:t>
      </w:r>
      <w:r w:rsidR="004446AA">
        <w:t xml:space="preserve">the Carl T. Curtis Pump Station, </w:t>
      </w:r>
      <w:r w:rsidR="00D64D87">
        <w:t>and</w:t>
      </w:r>
      <w:r w:rsidR="004446AA">
        <w:t xml:space="preserve"> into Elwood Reservoir.  The pumping rate is a function of water surface elevation in the reservoir,</w:t>
      </w:r>
      <w:r w:rsidR="00B053F2">
        <w:t xml:space="preserve"> with higher rates when the reservoir is low and lower rates when the reservoir is high,</w:t>
      </w:r>
      <w:r w:rsidR="004446AA">
        <w:t xml:space="preserve"> but there must be a minimum of 75 cfs in order to pump into the reservoir.</w:t>
      </w:r>
    </w:p>
    <w:p w14:paraId="34271FDF" w14:textId="77777777" w:rsidR="0084299F" w:rsidRDefault="0084299F" w:rsidP="0084299F"/>
    <w:p w14:paraId="3E4B9C2E" w14:textId="2921F747" w:rsidR="004A266A" w:rsidRDefault="005E6CBC" w:rsidP="0084299F">
      <w:r>
        <w:t>The Program and the CNPPID first entered into a WSA for intentional groundwater recharge through Elwood Reservoir in 2015.  The current WSA dated June 24, 2019</w:t>
      </w:r>
      <w:r w:rsidR="00D64D87">
        <w:t>,</w:t>
      </w:r>
      <w:r>
        <w:t xml:space="preserve"> divides water pumped into Elwood Reservoir for recharge into a 50% share for the Program and 50% for Tri-Basin Natural Resources District and the State of Nebraska</w:t>
      </w:r>
      <w:r w:rsidR="004B2E8D">
        <w:rPr>
          <w:rStyle w:val="FootnoteReference"/>
          <w:szCs w:val="24"/>
        </w:rPr>
        <w:footnoteReference w:id="11"/>
      </w:r>
      <w:r>
        <w:t>.</w:t>
      </w:r>
      <w:r w:rsidR="00D64D87">
        <w:t xml:space="preserve">  However, all water up to the limit of 30,000 AF may be available to the Program during a calendar year if the other parties decline their shares.</w:t>
      </w:r>
      <w:r w:rsidR="00745BCD">
        <w:t xml:space="preserve">  Invoices show that a total of </w:t>
      </w:r>
      <w:r>
        <w:t>18,539.1</w:t>
      </w:r>
      <w:r w:rsidR="00745BCD">
        <w:t xml:space="preserve"> AF was pumped into Elwood Reservoir for Program recharge </w:t>
      </w:r>
      <w:r w:rsidR="00F20DC1">
        <w:t>during calendar year</w:t>
      </w:r>
      <w:r w:rsidR="00745BCD">
        <w:t xml:space="preserve"> 201</w:t>
      </w:r>
      <w:r>
        <w:t>9</w:t>
      </w:r>
      <w:r w:rsidR="00745BCD">
        <w:t>.</w:t>
      </w:r>
      <w:r w:rsidR="00283EBC">
        <w:t xml:space="preserve">  </w:t>
      </w:r>
      <w:r w:rsidR="0041582D">
        <w:t>The same year</w:t>
      </w:r>
      <w:r w:rsidR="00283EBC">
        <w:t xml:space="preserve">, CNPPID identified an issue with reservoir seepage emerging from the banks near the pump station.  A consultant was hired to diagnose and </w:t>
      </w:r>
      <w:r w:rsidR="00011A63">
        <w:t>identify solutions to this issue</w:t>
      </w:r>
      <w:r w:rsidR="00283EBC">
        <w:t>, but that work precluded any diversions into Elwood for recharge after September 2019 and throughout the entirety of 2020.</w:t>
      </w:r>
      <w:r w:rsidR="00011A63">
        <w:rPr>
          <w:rStyle w:val="FootnoteReference"/>
          <w:szCs w:val="24"/>
        </w:rPr>
        <w:footnoteReference w:id="12"/>
      </w:r>
      <w:r w:rsidR="00745BCD">
        <w:t xml:space="preserve">  </w:t>
      </w:r>
    </w:p>
    <w:p w14:paraId="37E2D431" w14:textId="77777777" w:rsidR="0084299F" w:rsidRDefault="0084299F" w:rsidP="0084299F"/>
    <w:p w14:paraId="73321145" w14:textId="489D7614" w:rsidR="00066A8B" w:rsidRDefault="00B66496" w:rsidP="0084299F">
      <w:r>
        <w:t xml:space="preserve">The accounting process for Elwood recharge is fundamentally the same as that described previously for Phelps recharge.  </w:t>
      </w:r>
      <w:r w:rsidR="005F612D">
        <w:t xml:space="preserve">CNPPID maintains an Elwood </w:t>
      </w:r>
      <w:r>
        <w:t>t</w:t>
      </w:r>
      <w:r w:rsidR="005F612D">
        <w:t xml:space="preserve">racking </w:t>
      </w:r>
      <w:r>
        <w:t>s</w:t>
      </w:r>
      <w:r w:rsidR="005F612D">
        <w:t>preadsheet from which the EDO is able to calculate daily recharge</w:t>
      </w:r>
      <w:r>
        <w:t xml:space="preserve"> volume</w:t>
      </w:r>
      <w:r w:rsidR="005F612D">
        <w:t xml:space="preserve">.  </w:t>
      </w:r>
      <w:r w:rsidR="0082619D">
        <w:t>I</w:t>
      </w:r>
      <w:r w:rsidR="007E23F6">
        <w:t xml:space="preserve">t is assumed for accounting purposes that all water pumped into Elwood Reservoir for the Program </w:t>
      </w:r>
      <w:r w:rsidR="005F612D">
        <w:t xml:space="preserve">eventually </w:t>
      </w:r>
      <w:r w:rsidR="007E23F6">
        <w:t>seeps out as groundwater recharge</w:t>
      </w:r>
      <w:r w:rsidR="0082619D">
        <w:t>, except for net evaporation as calculated from nearby weather station data</w:t>
      </w:r>
      <w:r w:rsidR="007E23F6">
        <w:t>.</w:t>
      </w:r>
      <w:r w:rsidR="000B64E0">
        <w:t xml:space="preserve">  However, in contrast to the more or less instantaneous nat</w:t>
      </w:r>
      <w:r w:rsidR="000F6141">
        <w:t>ure of</w:t>
      </w:r>
      <w:r w:rsidR="000B64E0">
        <w:t xml:space="preserve"> Phelps recharge</w:t>
      </w:r>
      <w:r w:rsidR="000F6141">
        <w:t xml:space="preserve"> as water is diverted into the canal</w:t>
      </w:r>
      <w:r w:rsidR="000B64E0">
        <w:t>, the generally larger volumes of water pumped into Elwood may take months to years</w:t>
      </w:r>
      <w:r w:rsidR="000F6141">
        <w:t xml:space="preserve"> to recharge.  As a result, recharge from Elwood Reservoir has been occurring continuously since </w:t>
      </w:r>
      <w:r w:rsidR="000F6141">
        <w:lastRenderedPageBreak/>
        <w:t>the project began in May 2015.</w:t>
      </w:r>
      <w:r w:rsidR="003B6289">
        <w:t xml:space="preserve">  </w:t>
      </w:r>
      <w:r w:rsidR="003B6289" w:rsidRPr="003B6289">
        <w:rPr>
          <w:b/>
          <w:bCs/>
        </w:rPr>
        <w:t xml:space="preserve">Figure </w:t>
      </w:r>
      <w:r w:rsidR="00DA2321">
        <w:rPr>
          <w:b/>
          <w:bCs/>
        </w:rPr>
        <w:t>5</w:t>
      </w:r>
      <w:r w:rsidR="003B6289">
        <w:t xml:space="preserve"> shows the timing and volumes of water pumped into the reservoir for the Program and </w:t>
      </w:r>
      <w:r w:rsidR="00231A4D">
        <w:t>the time series of ongoing recharge (through December 2020).</w:t>
      </w:r>
    </w:p>
    <w:p w14:paraId="14534981" w14:textId="77777777" w:rsidR="0084299F" w:rsidRDefault="0084299F" w:rsidP="0084299F"/>
    <w:p w14:paraId="67B6D217" w14:textId="6F208C67" w:rsidR="000F6141" w:rsidRDefault="00FB0BC2" w:rsidP="0084299F">
      <w:r>
        <w:rPr>
          <w:noProof/>
        </w:rPr>
        <w:drawing>
          <wp:inline distT="0" distB="0" distL="0" distR="0" wp14:anchorId="2CAF7F0C" wp14:editId="2FDAF764">
            <wp:extent cx="5917164" cy="4295775"/>
            <wp:effectExtent l="0" t="0" r="762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928177" cy="4303771"/>
                    </a:xfrm>
                    <a:prstGeom prst="rect">
                      <a:avLst/>
                    </a:prstGeom>
                    <a:noFill/>
                  </pic:spPr>
                </pic:pic>
              </a:graphicData>
            </a:graphic>
          </wp:inline>
        </w:drawing>
      </w:r>
      <w:r w:rsidR="007E23F6">
        <w:t xml:space="preserve">  </w:t>
      </w:r>
    </w:p>
    <w:p w14:paraId="5991E923" w14:textId="04C1408C" w:rsidR="00231A4D" w:rsidRPr="00A44AA9" w:rsidRDefault="00FE3BF0" w:rsidP="0084299F">
      <w:pPr>
        <w:rPr>
          <w:b/>
          <w:bCs/>
          <w:sz w:val="22"/>
        </w:rPr>
      </w:pPr>
      <w:r w:rsidRPr="00A44AA9">
        <w:rPr>
          <w:b/>
          <w:bCs/>
          <w:sz w:val="22"/>
        </w:rPr>
        <w:t>Figure</w:t>
      </w:r>
      <w:r w:rsidR="00DA2321">
        <w:rPr>
          <w:b/>
          <w:bCs/>
          <w:sz w:val="22"/>
        </w:rPr>
        <w:t xml:space="preserve"> 5.  Elwood Reservoir Pumping for PRRIP and Recharge (Seepage)</w:t>
      </w:r>
      <w:r w:rsidR="00770803">
        <w:rPr>
          <w:b/>
          <w:bCs/>
          <w:sz w:val="22"/>
        </w:rPr>
        <w:t xml:space="preserve"> Volumes by Month</w:t>
      </w:r>
    </w:p>
    <w:p w14:paraId="1B4E683B" w14:textId="77777777" w:rsidR="0084299F" w:rsidRDefault="0084299F" w:rsidP="0084299F"/>
    <w:p w14:paraId="5C44A6DF" w14:textId="67B40044" w:rsidR="004638B0" w:rsidRDefault="005E6CBC" w:rsidP="0084299F">
      <w:r>
        <w:t>Groundwater modeling completed for the project score analysis</w:t>
      </w:r>
      <w:r>
        <w:rPr>
          <w:rStyle w:val="FootnoteReference"/>
          <w:szCs w:val="24"/>
        </w:rPr>
        <w:footnoteReference w:id="13"/>
      </w:r>
      <w:r>
        <w:t xml:space="preserve"> shows that most of the </w:t>
      </w:r>
      <w:r w:rsidR="000B64E0">
        <w:t>water from Elwood recharge</w:t>
      </w:r>
      <w:r>
        <w:t xml:space="preserve"> </w:t>
      </w:r>
      <w:r w:rsidR="007E23F6">
        <w:t>eventually emerges</w:t>
      </w:r>
      <w:r>
        <w:t xml:space="preserve"> in the Platte River upstream of Overton, through either groundwater migration or interception by Plum Creek, but some of the recharged water may ultimately reach the Republican River basin.</w:t>
      </w:r>
      <w:r w:rsidR="004638B0">
        <w:t xml:space="preserve">  Monthly accretions from recharge are calculated using the URF</w:t>
      </w:r>
      <w:r w:rsidR="00C30C7E">
        <w:t>s</w:t>
      </w:r>
      <w:r w:rsidR="004638B0">
        <w:t xml:space="preserve"> shown in </w:t>
      </w:r>
      <w:r w:rsidR="004638B0" w:rsidRPr="004638B0">
        <w:rPr>
          <w:b/>
          <w:bCs/>
        </w:rPr>
        <w:t xml:space="preserve">Figure </w:t>
      </w:r>
      <w:r w:rsidR="00DA2321">
        <w:rPr>
          <w:b/>
          <w:bCs/>
        </w:rPr>
        <w:t>6</w:t>
      </w:r>
      <w:r w:rsidR="00CD2DDF">
        <w:t xml:space="preserve">.  </w:t>
      </w:r>
    </w:p>
    <w:p w14:paraId="2C9544C7" w14:textId="4DCAE6B0" w:rsidR="00BF7324" w:rsidRDefault="00FB0BC2" w:rsidP="0084299F">
      <w:r>
        <w:rPr>
          <w:noProof/>
        </w:rPr>
        <w:lastRenderedPageBreak/>
        <w:drawing>
          <wp:inline distT="0" distB="0" distL="0" distR="0" wp14:anchorId="2EAF248F" wp14:editId="2F93334D">
            <wp:extent cx="5943600" cy="4314967"/>
            <wp:effectExtent l="0" t="0" r="0" b="9525"/>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956362" cy="4324232"/>
                    </a:xfrm>
                    <a:prstGeom prst="rect">
                      <a:avLst/>
                    </a:prstGeom>
                    <a:noFill/>
                  </pic:spPr>
                </pic:pic>
              </a:graphicData>
            </a:graphic>
          </wp:inline>
        </w:drawing>
      </w:r>
    </w:p>
    <w:p w14:paraId="538C5A97" w14:textId="573E2872" w:rsidR="00FB0BC2" w:rsidRPr="00A44AA9" w:rsidRDefault="00A44AA9" w:rsidP="0084299F">
      <w:pPr>
        <w:rPr>
          <w:b/>
          <w:bCs/>
          <w:sz w:val="22"/>
        </w:rPr>
      </w:pPr>
      <w:r w:rsidRPr="00A44AA9">
        <w:rPr>
          <w:b/>
          <w:bCs/>
          <w:sz w:val="22"/>
        </w:rPr>
        <w:t>Figure</w:t>
      </w:r>
      <w:r w:rsidR="00DA2321">
        <w:rPr>
          <w:b/>
          <w:bCs/>
          <w:sz w:val="22"/>
        </w:rPr>
        <w:t xml:space="preserve"> 6.  Monthly and Cumulative Unit Responses for Elwood Reservoir Recharge</w:t>
      </w:r>
    </w:p>
    <w:p w14:paraId="43E818DC" w14:textId="77777777" w:rsidR="0084299F" w:rsidRDefault="0084299F" w:rsidP="0084299F"/>
    <w:p w14:paraId="10E5ACB0" w14:textId="509122C7" w:rsidR="00FB0BC2" w:rsidRDefault="002933A0" w:rsidP="0084299F">
      <w:r>
        <w:t xml:space="preserve">Assuming Elwood recharge water returns to the Platte River in the reach between Lexington and Overton, the travel distance is </w:t>
      </w:r>
      <w:r w:rsidR="00C30C7E">
        <w:t>roughly</w:t>
      </w:r>
      <w:r>
        <w:t xml:space="preserve"> 8 to 16 miles, much greater than the distance for Phelps recharge water.  As such, there is significant lag time, and the overall return response is much slower for Elwood recharge.  The individual URFs show recharged water first reaching Plum Creek in the seventh month, and the first traces of water reach the Platte River through groundwater migration in the eighth month.</w:t>
      </w:r>
      <w:r w:rsidR="00381A37">
        <w:t xml:space="preserve">  On the whole, a much greater percentage of Elwood recharge water returns through Plum Creek than through groundwater migration.  </w:t>
      </w:r>
      <w:r w:rsidR="00381A37" w:rsidRPr="00381A37">
        <w:rPr>
          <w:b/>
          <w:bCs/>
        </w:rPr>
        <w:t xml:space="preserve">Table </w:t>
      </w:r>
      <w:r w:rsidR="00A44AA9">
        <w:rPr>
          <w:b/>
          <w:bCs/>
        </w:rPr>
        <w:t>7</w:t>
      </w:r>
      <w:r w:rsidR="00381A37">
        <w:t xml:space="preserve"> shows cumulative returns from Elwood recharge at various intervals. </w:t>
      </w:r>
      <w:r>
        <w:t xml:space="preserve">  </w:t>
      </w:r>
    </w:p>
    <w:p w14:paraId="6AEFFA11" w14:textId="77777777" w:rsidR="0084299F" w:rsidRDefault="0084299F" w:rsidP="0084299F"/>
    <w:p w14:paraId="1C79A009" w14:textId="29B5EC49" w:rsidR="00381A37" w:rsidRPr="00A44AA9" w:rsidRDefault="00F0076A" w:rsidP="0084299F">
      <w:pPr>
        <w:rPr>
          <w:b/>
          <w:bCs/>
          <w:sz w:val="22"/>
        </w:rPr>
      </w:pPr>
      <w:r w:rsidRPr="00A44AA9">
        <w:rPr>
          <w:b/>
          <w:bCs/>
          <w:sz w:val="22"/>
        </w:rPr>
        <w:t xml:space="preserve">Table </w:t>
      </w:r>
      <w:r w:rsidR="00A44AA9" w:rsidRPr="00A44AA9">
        <w:rPr>
          <w:b/>
          <w:bCs/>
          <w:sz w:val="22"/>
        </w:rPr>
        <w:t>7</w:t>
      </w:r>
      <w:r w:rsidRPr="00A44AA9">
        <w:rPr>
          <w:b/>
          <w:bCs/>
          <w:sz w:val="22"/>
        </w:rPr>
        <w:t>.  Elwood Recharge Project Cumulative Return Percentage from URF</w:t>
      </w:r>
    </w:p>
    <w:tbl>
      <w:tblPr>
        <w:tblStyle w:val="TableGrid"/>
        <w:tblW w:w="0" w:type="auto"/>
        <w:tblLook w:val="04A0" w:firstRow="1" w:lastRow="0" w:firstColumn="1" w:lastColumn="0" w:noHBand="0" w:noVBand="1"/>
      </w:tblPr>
      <w:tblGrid>
        <w:gridCol w:w="2065"/>
        <w:gridCol w:w="1214"/>
        <w:gridCol w:w="1214"/>
        <w:gridCol w:w="1214"/>
        <w:gridCol w:w="1214"/>
        <w:gridCol w:w="1214"/>
        <w:gridCol w:w="1215"/>
      </w:tblGrid>
      <w:tr w:rsidR="00381A37" w14:paraId="33E94027" w14:textId="77777777" w:rsidTr="00A44AA9">
        <w:tc>
          <w:tcPr>
            <w:tcW w:w="2065" w:type="dxa"/>
            <w:shd w:val="clear" w:color="auto" w:fill="C2D69B" w:themeFill="accent3" w:themeFillTint="99"/>
            <w:vAlign w:val="center"/>
          </w:tcPr>
          <w:p w14:paraId="39B1BC7A" w14:textId="77777777" w:rsidR="00381A37" w:rsidRPr="00323D3A" w:rsidRDefault="00381A37" w:rsidP="00B37E72">
            <w:pPr>
              <w:pStyle w:val="ListParagraph"/>
              <w:ind w:left="0"/>
              <w:jc w:val="center"/>
              <w:rPr>
                <w:b/>
                <w:bCs/>
                <w:sz w:val="22"/>
              </w:rPr>
            </w:pPr>
            <w:r w:rsidRPr="00323D3A">
              <w:rPr>
                <w:b/>
                <w:bCs/>
                <w:sz w:val="22"/>
              </w:rPr>
              <w:t>Month</w:t>
            </w:r>
          </w:p>
        </w:tc>
        <w:tc>
          <w:tcPr>
            <w:tcW w:w="1214" w:type="dxa"/>
            <w:vAlign w:val="center"/>
          </w:tcPr>
          <w:p w14:paraId="729857D4" w14:textId="2C2444F0" w:rsidR="00381A37" w:rsidRPr="005D69BA" w:rsidRDefault="00381A37" w:rsidP="00B37E72">
            <w:pPr>
              <w:pStyle w:val="ListParagraph"/>
              <w:ind w:left="0"/>
              <w:jc w:val="center"/>
              <w:rPr>
                <w:sz w:val="22"/>
              </w:rPr>
            </w:pPr>
            <w:r>
              <w:rPr>
                <w:sz w:val="22"/>
              </w:rPr>
              <w:t>6</w:t>
            </w:r>
          </w:p>
        </w:tc>
        <w:tc>
          <w:tcPr>
            <w:tcW w:w="1214" w:type="dxa"/>
            <w:vAlign w:val="center"/>
          </w:tcPr>
          <w:p w14:paraId="596E531B" w14:textId="77777777" w:rsidR="00381A37" w:rsidRPr="005D69BA" w:rsidRDefault="00381A37" w:rsidP="00B37E72">
            <w:pPr>
              <w:pStyle w:val="ListParagraph"/>
              <w:ind w:left="0"/>
              <w:jc w:val="center"/>
              <w:rPr>
                <w:sz w:val="22"/>
              </w:rPr>
            </w:pPr>
            <w:r>
              <w:rPr>
                <w:sz w:val="22"/>
              </w:rPr>
              <w:t>12</w:t>
            </w:r>
          </w:p>
        </w:tc>
        <w:tc>
          <w:tcPr>
            <w:tcW w:w="1214" w:type="dxa"/>
            <w:vAlign w:val="center"/>
          </w:tcPr>
          <w:p w14:paraId="78770CA5" w14:textId="77777777" w:rsidR="00381A37" w:rsidRPr="005D69BA" w:rsidRDefault="00381A37" w:rsidP="00B37E72">
            <w:pPr>
              <w:pStyle w:val="ListParagraph"/>
              <w:ind w:left="0"/>
              <w:jc w:val="center"/>
              <w:rPr>
                <w:sz w:val="22"/>
              </w:rPr>
            </w:pPr>
            <w:r>
              <w:rPr>
                <w:sz w:val="22"/>
              </w:rPr>
              <w:t>36</w:t>
            </w:r>
          </w:p>
        </w:tc>
        <w:tc>
          <w:tcPr>
            <w:tcW w:w="1214" w:type="dxa"/>
            <w:vAlign w:val="center"/>
          </w:tcPr>
          <w:p w14:paraId="0A2D0DFB" w14:textId="77777777" w:rsidR="00381A37" w:rsidRPr="005D69BA" w:rsidRDefault="00381A37" w:rsidP="00B37E72">
            <w:pPr>
              <w:pStyle w:val="ListParagraph"/>
              <w:ind w:left="0"/>
              <w:jc w:val="center"/>
              <w:rPr>
                <w:sz w:val="22"/>
              </w:rPr>
            </w:pPr>
            <w:r>
              <w:rPr>
                <w:sz w:val="22"/>
              </w:rPr>
              <w:t>60</w:t>
            </w:r>
          </w:p>
        </w:tc>
        <w:tc>
          <w:tcPr>
            <w:tcW w:w="1214" w:type="dxa"/>
            <w:vAlign w:val="center"/>
          </w:tcPr>
          <w:p w14:paraId="7D7E095B" w14:textId="77777777" w:rsidR="00381A37" w:rsidRPr="005D69BA" w:rsidRDefault="00381A37" w:rsidP="00B37E72">
            <w:pPr>
              <w:pStyle w:val="ListParagraph"/>
              <w:ind w:left="0"/>
              <w:jc w:val="center"/>
              <w:rPr>
                <w:sz w:val="22"/>
              </w:rPr>
            </w:pPr>
            <w:r>
              <w:rPr>
                <w:sz w:val="22"/>
              </w:rPr>
              <w:t>120</w:t>
            </w:r>
          </w:p>
        </w:tc>
        <w:tc>
          <w:tcPr>
            <w:tcW w:w="1215" w:type="dxa"/>
            <w:vAlign w:val="center"/>
          </w:tcPr>
          <w:p w14:paraId="6739EA95" w14:textId="2AF0A6C6" w:rsidR="00381A37" w:rsidRDefault="00381A37" w:rsidP="00B37E72">
            <w:pPr>
              <w:pStyle w:val="ListParagraph"/>
              <w:ind w:left="0"/>
              <w:jc w:val="center"/>
              <w:rPr>
                <w:sz w:val="22"/>
              </w:rPr>
            </w:pPr>
            <w:r>
              <w:rPr>
                <w:sz w:val="22"/>
              </w:rPr>
              <w:t>576</w:t>
            </w:r>
          </w:p>
        </w:tc>
      </w:tr>
      <w:tr w:rsidR="00381A37" w14:paraId="219B13BF" w14:textId="77777777" w:rsidTr="00A44AA9">
        <w:tc>
          <w:tcPr>
            <w:tcW w:w="2065" w:type="dxa"/>
            <w:shd w:val="clear" w:color="auto" w:fill="C2D69B" w:themeFill="accent3" w:themeFillTint="99"/>
            <w:vAlign w:val="center"/>
          </w:tcPr>
          <w:p w14:paraId="28F644A3" w14:textId="40A7AB49" w:rsidR="00381A37" w:rsidRDefault="00381A37" w:rsidP="00B37E72">
            <w:pPr>
              <w:pStyle w:val="ListParagraph"/>
              <w:ind w:left="0"/>
              <w:jc w:val="center"/>
              <w:rPr>
                <w:b/>
                <w:bCs/>
                <w:sz w:val="22"/>
              </w:rPr>
            </w:pPr>
            <w:r>
              <w:rPr>
                <w:b/>
                <w:bCs/>
                <w:sz w:val="22"/>
              </w:rPr>
              <w:t>Platte River Cumulative Return</w:t>
            </w:r>
          </w:p>
        </w:tc>
        <w:tc>
          <w:tcPr>
            <w:tcW w:w="1214" w:type="dxa"/>
            <w:vAlign w:val="center"/>
          </w:tcPr>
          <w:p w14:paraId="0AB3EEFE" w14:textId="7F904412" w:rsidR="00381A37" w:rsidRDefault="00381A37" w:rsidP="00B37E72">
            <w:pPr>
              <w:pStyle w:val="ListParagraph"/>
              <w:ind w:left="0"/>
              <w:jc w:val="center"/>
              <w:rPr>
                <w:sz w:val="22"/>
              </w:rPr>
            </w:pPr>
            <w:r>
              <w:rPr>
                <w:sz w:val="22"/>
              </w:rPr>
              <w:t>0%</w:t>
            </w:r>
          </w:p>
        </w:tc>
        <w:tc>
          <w:tcPr>
            <w:tcW w:w="1214" w:type="dxa"/>
            <w:vAlign w:val="center"/>
          </w:tcPr>
          <w:p w14:paraId="33E44E95" w14:textId="70252D45" w:rsidR="00381A37" w:rsidRDefault="00381A37" w:rsidP="00B37E72">
            <w:pPr>
              <w:pStyle w:val="ListParagraph"/>
              <w:ind w:left="0"/>
              <w:jc w:val="center"/>
              <w:rPr>
                <w:sz w:val="22"/>
              </w:rPr>
            </w:pPr>
            <w:r>
              <w:rPr>
                <w:sz w:val="22"/>
              </w:rPr>
              <w:t>1.6%</w:t>
            </w:r>
          </w:p>
        </w:tc>
        <w:tc>
          <w:tcPr>
            <w:tcW w:w="1214" w:type="dxa"/>
            <w:vAlign w:val="center"/>
          </w:tcPr>
          <w:p w14:paraId="58A76878" w14:textId="60B04BB2" w:rsidR="00381A37" w:rsidRDefault="00381A37" w:rsidP="00B37E72">
            <w:pPr>
              <w:pStyle w:val="ListParagraph"/>
              <w:ind w:left="0"/>
              <w:jc w:val="center"/>
              <w:rPr>
                <w:sz w:val="22"/>
              </w:rPr>
            </w:pPr>
            <w:r>
              <w:rPr>
                <w:sz w:val="22"/>
              </w:rPr>
              <w:t>6.0%</w:t>
            </w:r>
          </w:p>
        </w:tc>
        <w:tc>
          <w:tcPr>
            <w:tcW w:w="1214" w:type="dxa"/>
            <w:vAlign w:val="center"/>
          </w:tcPr>
          <w:p w14:paraId="295FA23B" w14:textId="2DD6F8CB" w:rsidR="00381A37" w:rsidRDefault="00381A37" w:rsidP="00B37E72">
            <w:pPr>
              <w:pStyle w:val="ListParagraph"/>
              <w:ind w:left="0"/>
              <w:jc w:val="center"/>
              <w:rPr>
                <w:sz w:val="22"/>
              </w:rPr>
            </w:pPr>
            <w:r>
              <w:rPr>
                <w:sz w:val="22"/>
              </w:rPr>
              <w:t>8.4%</w:t>
            </w:r>
          </w:p>
        </w:tc>
        <w:tc>
          <w:tcPr>
            <w:tcW w:w="1214" w:type="dxa"/>
            <w:vAlign w:val="center"/>
          </w:tcPr>
          <w:p w14:paraId="54DF74B8" w14:textId="7DF3C14B" w:rsidR="00381A37" w:rsidRDefault="00381A37" w:rsidP="00B37E72">
            <w:pPr>
              <w:pStyle w:val="ListParagraph"/>
              <w:ind w:left="0"/>
              <w:jc w:val="center"/>
              <w:rPr>
                <w:sz w:val="22"/>
              </w:rPr>
            </w:pPr>
            <w:r>
              <w:rPr>
                <w:sz w:val="22"/>
              </w:rPr>
              <w:t>11.6%</w:t>
            </w:r>
          </w:p>
        </w:tc>
        <w:tc>
          <w:tcPr>
            <w:tcW w:w="1215" w:type="dxa"/>
            <w:vAlign w:val="center"/>
          </w:tcPr>
          <w:p w14:paraId="1B8D9508" w14:textId="42CEC33C" w:rsidR="00381A37" w:rsidRDefault="00381A37" w:rsidP="00B37E72">
            <w:pPr>
              <w:pStyle w:val="ListParagraph"/>
              <w:ind w:left="0"/>
              <w:jc w:val="center"/>
              <w:rPr>
                <w:sz w:val="22"/>
              </w:rPr>
            </w:pPr>
            <w:r>
              <w:rPr>
                <w:sz w:val="22"/>
              </w:rPr>
              <w:t>18.1%</w:t>
            </w:r>
          </w:p>
        </w:tc>
      </w:tr>
      <w:tr w:rsidR="00381A37" w14:paraId="6594CB4F" w14:textId="77777777" w:rsidTr="00A44AA9">
        <w:tc>
          <w:tcPr>
            <w:tcW w:w="2065" w:type="dxa"/>
            <w:shd w:val="clear" w:color="auto" w:fill="C2D69B" w:themeFill="accent3" w:themeFillTint="99"/>
            <w:vAlign w:val="center"/>
          </w:tcPr>
          <w:p w14:paraId="24930736" w14:textId="13F67834" w:rsidR="00381A37" w:rsidRDefault="00381A37" w:rsidP="00B37E72">
            <w:pPr>
              <w:pStyle w:val="ListParagraph"/>
              <w:ind w:left="0"/>
              <w:jc w:val="center"/>
              <w:rPr>
                <w:b/>
                <w:bCs/>
                <w:sz w:val="22"/>
              </w:rPr>
            </w:pPr>
            <w:r>
              <w:rPr>
                <w:b/>
                <w:bCs/>
                <w:sz w:val="22"/>
              </w:rPr>
              <w:t>Plum Creek Cumulative Return</w:t>
            </w:r>
          </w:p>
        </w:tc>
        <w:tc>
          <w:tcPr>
            <w:tcW w:w="1214" w:type="dxa"/>
            <w:vAlign w:val="center"/>
          </w:tcPr>
          <w:p w14:paraId="3788630E" w14:textId="288C1253" w:rsidR="00381A37" w:rsidRDefault="00381A37" w:rsidP="00B37E72">
            <w:pPr>
              <w:pStyle w:val="ListParagraph"/>
              <w:ind w:left="0"/>
              <w:jc w:val="center"/>
              <w:rPr>
                <w:sz w:val="22"/>
              </w:rPr>
            </w:pPr>
            <w:r>
              <w:rPr>
                <w:sz w:val="22"/>
              </w:rPr>
              <w:t>0%</w:t>
            </w:r>
          </w:p>
        </w:tc>
        <w:tc>
          <w:tcPr>
            <w:tcW w:w="1214" w:type="dxa"/>
            <w:vAlign w:val="center"/>
          </w:tcPr>
          <w:p w14:paraId="064CF205" w14:textId="732ED1FD" w:rsidR="00381A37" w:rsidRDefault="00381A37" w:rsidP="00B37E72">
            <w:pPr>
              <w:pStyle w:val="ListParagraph"/>
              <w:ind w:left="0"/>
              <w:jc w:val="center"/>
              <w:rPr>
                <w:sz w:val="22"/>
              </w:rPr>
            </w:pPr>
            <w:r>
              <w:rPr>
                <w:sz w:val="22"/>
              </w:rPr>
              <w:t>8.7%</w:t>
            </w:r>
          </w:p>
        </w:tc>
        <w:tc>
          <w:tcPr>
            <w:tcW w:w="1214" w:type="dxa"/>
            <w:vAlign w:val="center"/>
          </w:tcPr>
          <w:p w14:paraId="50ED6CCD" w14:textId="53C07BFE" w:rsidR="00381A37" w:rsidRDefault="00381A37" w:rsidP="00B37E72">
            <w:pPr>
              <w:pStyle w:val="ListParagraph"/>
              <w:ind w:left="0"/>
              <w:jc w:val="center"/>
              <w:rPr>
                <w:sz w:val="22"/>
              </w:rPr>
            </w:pPr>
            <w:r>
              <w:rPr>
                <w:sz w:val="22"/>
              </w:rPr>
              <w:t>23.1%</w:t>
            </w:r>
          </w:p>
        </w:tc>
        <w:tc>
          <w:tcPr>
            <w:tcW w:w="1214" w:type="dxa"/>
            <w:vAlign w:val="center"/>
          </w:tcPr>
          <w:p w14:paraId="3F73DD26" w14:textId="30287E0B" w:rsidR="00381A37" w:rsidRDefault="00381A37" w:rsidP="00B37E72">
            <w:pPr>
              <w:pStyle w:val="ListParagraph"/>
              <w:ind w:left="0"/>
              <w:jc w:val="center"/>
              <w:rPr>
                <w:sz w:val="22"/>
              </w:rPr>
            </w:pPr>
            <w:r>
              <w:rPr>
                <w:sz w:val="22"/>
              </w:rPr>
              <w:t>29.7%</w:t>
            </w:r>
          </w:p>
        </w:tc>
        <w:tc>
          <w:tcPr>
            <w:tcW w:w="1214" w:type="dxa"/>
            <w:vAlign w:val="center"/>
          </w:tcPr>
          <w:p w14:paraId="5AF7CB20" w14:textId="1F4B926B" w:rsidR="00381A37" w:rsidRDefault="00381A37" w:rsidP="00B37E72">
            <w:pPr>
              <w:pStyle w:val="ListParagraph"/>
              <w:ind w:left="0"/>
              <w:jc w:val="center"/>
              <w:rPr>
                <w:sz w:val="22"/>
              </w:rPr>
            </w:pPr>
            <w:r>
              <w:rPr>
                <w:sz w:val="22"/>
              </w:rPr>
              <w:t>38.7%</w:t>
            </w:r>
          </w:p>
        </w:tc>
        <w:tc>
          <w:tcPr>
            <w:tcW w:w="1215" w:type="dxa"/>
            <w:vAlign w:val="center"/>
          </w:tcPr>
          <w:p w14:paraId="6F388009" w14:textId="4C9CD100" w:rsidR="00381A37" w:rsidRDefault="00381A37" w:rsidP="00B37E72">
            <w:pPr>
              <w:pStyle w:val="ListParagraph"/>
              <w:ind w:left="0"/>
              <w:jc w:val="center"/>
              <w:rPr>
                <w:sz w:val="22"/>
              </w:rPr>
            </w:pPr>
            <w:r>
              <w:rPr>
                <w:sz w:val="22"/>
              </w:rPr>
              <w:t>57.6%</w:t>
            </w:r>
          </w:p>
        </w:tc>
      </w:tr>
      <w:tr w:rsidR="00381A37" w14:paraId="1B1163EE" w14:textId="77777777" w:rsidTr="00A44AA9">
        <w:tc>
          <w:tcPr>
            <w:tcW w:w="2065" w:type="dxa"/>
            <w:shd w:val="clear" w:color="auto" w:fill="C2D69B" w:themeFill="accent3" w:themeFillTint="99"/>
            <w:vAlign w:val="center"/>
          </w:tcPr>
          <w:p w14:paraId="164EF2D6" w14:textId="5AE2520F" w:rsidR="00381A37" w:rsidRPr="00323D3A" w:rsidRDefault="00381A37" w:rsidP="00381A37">
            <w:pPr>
              <w:pStyle w:val="ListParagraph"/>
              <w:ind w:left="0"/>
              <w:jc w:val="center"/>
              <w:rPr>
                <w:b/>
                <w:bCs/>
                <w:sz w:val="22"/>
              </w:rPr>
            </w:pPr>
            <w:r>
              <w:rPr>
                <w:b/>
                <w:bCs/>
                <w:sz w:val="22"/>
              </w:rPr>
              <w:t xml:space="preserve">Total </w:t>
            </w:r>
            <w:r w:rsidRPr="00323D3A">
              <w:rPr>
                <w:b/>
                <w:bCs/>
                <w:sz w:val="22"/>
              </w:rPr>
              <w:t>Cumulative Return</w:t>
            </w:r>
          </w:p>
        </w:tc>
        <w:tc>
          <w:tcPr>
            <w:tcW w:w="1214" w:type="dxa"/>
            <w:vAlign w:val="center"/>
          </w:tcPr>
          <w:p w14:paraId="6DC6A6F9" w14:textId="5567EF02" w:rsidR="00381A37" w:rsidRPr="005D69BA" w:rsidRDefault="00381A37" w:rsidP="00B37E72">
            <w:pPr>
              <w:pStyle w:val="ListParagraph"/>
              <w:ind w:left="0"/>
              <w:jc w:val="center"/>
              <w:rPr>
                <w:sz w:val="22"/>
              </w:rPr>
            </w:pPr>
            <w:r>
              <w:rPr>
                <w:sz w:val="22"/>
              </w:rPr>
              <w:t>0%</w:t>
            </w:r>
          </w:p>
        </w:tc>
        <w:tc>
          <w:tcPr>
            <w:tcW w:w="1214" w:type="dxa"/>
            <w:vAlign w:val="center"/>
          </w:tcPr>
          <w:p w14:paraId="7900973D" w14:textId="26A75CAD" w:rsidR="00381A37" w:rsidRPr="005D69BA" w:rsidRDefault="00381A37" w:rsidP="00B37E72">
            <w:pPr>
              <w:pStyle w:val="ListParagraph"/>
              <w:ind w:left="0"/>
              <w:jc w:val="center"/>
              <w:rPr>
                <w:sz w:val="22"/>
              </w:rPr>
            </w:pPr>
            <w:r>
              <w:rPr>
                <w:sz w:val="22"/>
              </w:rPr>
              <w:t>10.3%</w:t>
            </w:r>
          </w:p>
        </w:tc>
        <w:tc>
          <w:tcPr>
            <w:tcW w:w="1214" w:type="dxa"/>
            <w:vAlign w:val="center"/>
          </w:tcPr>
          <w:p w14:paraId="26B6F7DF" w14:textId="6C0D425E" w:rsidR="00381A37" w:rsidRPr="005D69BA" w:rsidRDefault="00381A37" w:rsidP="00B37E72">
            <w:pPr>
              <w:pStyle w:val="ListParagraph"/>
              <w:ind w:left="0"/>
              <w:jc w:val="center"/>
              <w:rPr>
                <w:sz w:val="22"/>
              </w:rPr>
            </w:pPr>
            <w:r>
              <w:rPr>
                <w:sz w:val="22"/>
              </w:rPr>
              <w:t>29.1%</w:t>
            </w:r>
          </w:p>
        </w:tc>
        <w:tc>
          <w:tcPr>
            <w:tcW w:w="1214" w:type="dxa"/>
            <w:vAlign w:val="center"/>
          </w:tcPr>
          <w:p w14:paraId="544FF177" w14:textId="08474D05" w:rsidR="00381A37" w:rsidRPr="005D69BA" w:rsidRDefault="00381A37" w:rsidP="00B37E72">
            <w:pPr>
              <w:pStyle w:val="ListParagraph"/>
              <w:ind w:left="0"/>
              <w:jc w:val="center"/>
              <w:rPr>
                <w:sz w:val="22"/>
              </w:rPr>
            </w:pPr>
            <w:r>
              <w:rPr>
                <w:sz w:val="22"/>
              </w:rPr>
              <w:t>38.1%</w:t>
            </w:r>
          </w:p>
        </w:tc>
        <w:tc>
          <w:tcPr>
            <w:tcW w:w="1214" w:type="dxa"/>
            <w:vAlign w:val="center"/>
          </w:tcPr>
          <w:p w14:paraId="19EF38B3" w14:textId="2DE0E055" w:rsidR="00381A37" w:rsidRPr="005D69BA" w:rsidRDefault="00381A37" w:rsidP="00B37E72">
            <w:pPr>
              <w:pStyle w:val="ListParagraph"/>
              <w:ind w:left="0"/>
              <w:jc w:val="center"/>
              <w:rPr>
                <w:sz w:val="22"/>
              </w:rPr>
            </w:pPr>
            <w:r>
              <w:rPr>
                <w:sz w:val="22"/>
              </w:rPr>
              <w:t>50.3%</w:t>
            </w:r>
          </w:p>
        </w:tc>
        <w:tc>
          <w:tcPr>
            <w:tcW w:w="1215" w:type="dxa"/>
            <w:vAlign w:val="center"/>
          </w:tcPr>
          <w:p w14:paraId="095EF609" w14:textId="2EA6512C" w:rsidR="00381A37" w:rsidRPr="005D69BA" w:rsidRDefault="00381A37" w:rsidP="00B37E72">
            <w:pPr>
              <w:pStyle w:val="ListParagraph"/>
              <w:ind w:left="0"/>
              <w:jc w:val="center"/>
              <w:rPr>
                <w:sz w:val="22"/>
              </w:rPr>
            </w:pPr>
            <w:r>
              <w:rPr>
                <w:sz w:val="22"/>
              </w:rPr>
              <w:t>75.7%</w:t>
            </w:r>
          </w:p>
        </w:tc>
      </w:tr>
    </w:tbl>
    <w:p w14:paraId="4F59CC8A" w14:textId="12FB4829" w:rsidR="00FB0BC2" w:rsidRDefault="00FB0BC2" w:rsidP="0084299F"/>
    <w:p w14:paraId="37D18480" w14:textId="2438871D" w:rsidR="00F52642" w:rsidRDefault="006A1BFD" w:rsidP="0084299F">
      <w:r>
        <w:lastRenderedPageBreak/>
        <w:t>By the end of 2020, just over 5.5 years after the first diversions into Elwood for Program recharge, only about 40% of that initial water would have returned to the Platte River.</w:t>
      </w:r>
      <w:r w:rsidR="00756E35">
        <w:t xml:space="preserve">  The full URFs for Elwood recharge are calculated out for 48 years (576 months).  At that point, </w:t>
      </w:r>
      <w:r w:rsidR="00F52642">
        <w:t xml:space="preserve">the total (Platte River return + Plum Creek return) URF indicates that </w:t>
      </w:r>
      <w:r w:rsidR="00756E35">
        <w:t>only about 76% of recharged water from Elwood will have returned to the river, compared to more than 90% from Phelps recharge</w:t>
      </w:r>
      <w:r w:rsidR="00F52642">
        <w:t xml:space="preserve"> at </w:t>
      </w:r>
      <w:r w:rsidR="00152E2E">
        <w:t xml:space="preserve">about </w:t>
      </w:r>
      <w:r w:rsidR="00F52642">
        <w:t>the same time</w:t>
      </w:r>
      <w:r w:rsidR="00756E35">
        <w:t xml:space="preserve">.  Documentation from the Elwood recharge score analysis indicates that the other 24% of Elwood recharge water </w:t>
      </w:r>
      <w:r w:rsidR="00152E2E">
        <w:t>would at that point</w:t>
      </w:r>
      <w:r w:rsidR="00756E35">
        <w:t xml:space="preserve"> still be in groundwater storage, with some destined for the Republican River basin</w:t>
      </w:r>
      <w:r w:rsidR="00152E2E">
        <w:t xml:space="preserve"> over the long term</w:t>
      </w:r>
      <w:r w:rsidR="00756E35">
        <w:t xml:space="preserve">. </w:t>
      </w:r>
    </w:p>
    <w:p w14:paraId="27A41B0F" w14:textId="77777777" w:rsidR="0084299F" w:rsidRDefault="0084299F" w:rsidP="0084299F"/>
    <w:p w14:paraId="6682E2C0" w14:textId="2FD1E62F" w:rsidR="00A44AA9" w:rsidRDefault="00F52642" w:rsidP="0084299F">
      <w:r>
        <w:t xml:space="preserve">The total URF is used in the accounting calculations.  </w:t>
      </w:r>
      <w:r w:rsidRPr="00E07185">
        <w:rPr>
          <w:b/>
          <w:bCs/>
        </w:rPr>
        <w:t xml:space="preserve">Figure </w:t>
      </w:r>
      <w:r w:rsidR="00770803">
        <w:rPr>
          <w:b/>
          <w:bCs/>
        </w:rPr>
        <w:t>7</w:t>
      </w:r>
      <w:r>
        <w:t xml:space="preserve"> shows monthly Elwood seepage (this was the blue line in Figure </w:t>
      </w:r>
      <w:r w:rsidR="002F1E1E">
        <w:t>5</w:t>
      </w:r>
      <w:r>
        <w:t xml:space="preserve">, shown here as </w:t>
      </w:r>
      <w:r w:rsidR="00802ADF">
        <w:t xml:space="preserve">green </w:t>
      </w:r>
      <w:r>
        <w:t>columns at a different scale) and calculated accretion</w:t>
      </w:r>
      <w:r w:rsidR="00E07185">
        <w:t xml:space="preserve"> volumes</w:t>
      </w:r>
      <w:r>
        <w:t>.  T</w:t>
      </w:r>
      <w:r w:rsidR="00756E35">
        <w:t>he r</w:t>
      </w:r>
      <w:r w:rsidR="00B3755C">
        <w:t>eturn flows</w:t>
      </w:r>
      <w:r w:rsidR="00CD2DDF">
        <w:t xml:space="preserve"> reaching the Platte River are routed to Grand Island then compared against target flow shortages to estimate a volume of deficit reductions resulting </w:t>
      </w:r>
      <w:r w:rsidR="00024EB5">
        <w:t xml:space="preserve">from </w:t>
      </w:r>
      <w:r w:rsidR="00CD2DDF">
        <w:t>the project in a given calendar year.</w:t>
      </w:r>
    </w:p>
    <w:p w14:paraId="10450122" w14:textId="77777777" w:rsidR="0084299F" w:rsidRDefault="0084299F" w:rsidP="0084299F"/>
    <w:p w14:paraId="02BA9041" w14:textId="59CBBAD0" w:rsidR="00F52642" w:rsidRDefault="001907E3" w:rsidP="0084299F">
      <w:r>
        <w:rPr>
          <w:b/>
          <w:noProof/>
        </w:rPr>
        <w:drawing>
          <wp:inline distT="0" distB="0" distL="0" distR="0" wp14:anchorId="2AF321D7" wp14:editId="51581999">
            <wp:extent cx="5931756" cy="4305300"/>
            <wp:effectExtent l="0" t="0" r="0"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939183" cy="4310691"/>
                    </a:xfrm>
                    <a:prstGeom prst="rect">
                      <a:avLst/>
                    </a:prstGeom>
                    <a:noFill/>
                  </pic:spPr>
                </pic:pic>
              </a:graphicData>
            </a:graphic>
          </wp:inline>
        </w:drawing>
      </w:r>
    </w:p>
    <w:p w14:paraId="2376409C" w14:textId="1DB85C12" w:rsidR="00BF53BC" w:rsidRPr="00A44AA9" w:rsidRDefault="00BF53BC" w:rsidP="0084299F">
      <w:pPr>
        <w:rPr>
          <w:b/>
          <w:sz w:val="22"/>
        </w:rPr>
      </w:pPr>
      <w:r w:rsidRPr="00A44AA9">
        <w:rPr>
          <w:b/>
          <w:sz w:val="22"/>
        </w:rPr>
        <w:t xml:space="preserve">Figure </w:t>
      </w:r>
      <w:r w:rsidR="00770803">
        <w:rPr>
          <w:b/>
          <w:sz w:val="22"/>
        </w:rPr>
        <w:t>7</w:t>
      </w:r>
      <w:r w:rsidRPr="00A44AA9">
        <w:rPr>
          <w:b/>
          <w:sz w:val="22"/>
        </w:rPr>
        <w:t xml:space="preserve">.  Elwood </w:t>
      </w:r>
      <w:r w:rsidR="00770803">
        <w:rPr>
          <w:b/>
          <w:sz w:val="22"/>
        </w:rPr>
        <w:t>Reservoir</w:t>
      </w:r>
      <w:r w:rsidRPr="00A44AA9">
        <w:rPr>
          <w:b/>
          <w:sz w:val="22"/>
        </w:rPr>
        <w:t xml:space="preserve"> Recharge (Seepage) and Return</w:t>
      </w:r>
      <w:r w:rsidR="00770803">
        <w:rPr>
          <w:b/>
          <w:sz w:val="22"/>
        </w:rPr>
        <w:t xml:space="preserve"> Flow</w:t>
      </w:r>
      <w:r w:rsidRPr="00A44AA9">
        <w:rPr>
          <w:b/>
          <w:sz w:val="22"/>
        </w:rPr>
        <w:t xml:space="preserve"> (Accretion) Volumes</w:t>
      </w:r>
      <w:r w:rsidR="00770803">
        <w:rPr>
          <w:b/>
          <w:sz w:val="22"/>
        </w:rPr>
        <w:t xml:space="preserve"> by Month</w:t>
      </w:r>
    </w:p>
    <w:p w14:paraId="76A4A35C" w14:textId="77777777" w:rsidR="0084299F" w:rsidRDefault="0084299F" w:rsidP="0084299F">
      <w:pPr>
        <w:rPr>
          <w:bCs/>
        </w:rPr>
      </w:pPr>
    </w:p>
    <w:p w14:paraId="410846D3" w14:textId="09B1853B" w:rsidR="003957D9" w:rsidRDefault="00E07185" w:rsidP="0084299F">
      <w:pPr>
        <w:rPr>
          <w:bCs/>
        </w:rPr>
      </w:pPr>
      <w:r>
        <w:rPr>
          <w:bCs/>
        </w:rPr>
        <w:t>Unlike the oscillations of the accretions between Phelps recharge periods, the accretions resulting from continuous Elwood recharge have generally exhibited a steady upward trend but started to dip slightly in 2020 because there was no new water added to the reservoir for the Program and recharge rates declined.</w:t>
      </w:r>
      <w:r w:rsidR="003957D9">
        <w:rPr>
          <w:bCs/>
        </w:rPr>
        <w:t xml:space="preserve">  </w:t>
      </w:r>
      <w:r w:rsidR="003957D9" w:rsidRPr="003957D9">
        <w:rPr>
          <w:b/>
        </w:rPr>
        <w:t xml:space="preserve">Figure </w:t>
      </w:r>
      <w:r w:rsidR="00E03C3F">
        <w:rPr>
          <w:b/>
        </w:rPr>
        <w:t>8</w:t>
      </w:r>
      <w:r w:rsidR="003957D9">
        <w:rPr>
          <w:bCs/>
        </w:rPr>
        <w:t xml:space="preserve"> shows the timing of diversions for Elwood </w:t>
      </w:r>
      <w:r w:rsidR="003957D9">
        <w:rPr>
          <w:bCs/>
        </w:rPr>
        <w:lastRenderedPageBreak/>
        <w:t>recharge and the calculated daily average accretion rate.</w:t>
      </w:r>
      <w:r w:rsidR="00011A63">
        <w:rPr>
          <w:bCs/>
        </w:rPr>
        <w:t xml:space="preserve">  Accretions peaked at 5.8 cfs in June 2020.</w:t>
      </w:r>
    </w:p>
    <w:p w14:paraId="405116B8" w14:textId="77777777" w:rsidR="0084299F" w:rsidRDefault="0084299F" w:rsidP="0084299F">
      <w:pPr>
        <w:rPr>
          <w:bCs/>
        </w:rPr>
      </w:pPr>
    </w:p>
    <w:p w14:paraId="1060D38C" w14:textId="600D4782" w:rsidR="00E07185" w:rsidRPr="00E07185" w:rsidRDefault="001907E3" w:rsidP="0084299F">
      <w:pPr>
        <w:rPr>
          <w:bCs/>
        </w:rPr>
      </w:pPr>
      <w:r>
        <w:rPr>
          <w:bCs/>
          <w:noProof/>
        </w:rPr>
        <w:drawing>
          <wp:inline distT="0" distB="0" distL="0" distR="0" wp14:anchorId="3559FB46" wp14:editId="2C472EEC">
            <wp:extent cx="5943600" cy="4314967"/>
            <wp:effectExtent l="0" t="0" r="0" b="9525"/>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956090" cy="4324034"/>
                    </a:xfrm>
                    <a:prstGeom prst="rect">
                      <a:avLst/>
                    </a:prstGeom>
                    <a:noFill/>
                  </pic:spPr>
                </pic:pic>
              </a:graphicData>
            </a:graphic>
          </wp:inline>
        </w:drawing>
      </w:r>
      <w:r w:rsidR="003957D9">
        <w:rPr>
          <w:bCs/>
        </w:rPr>
        <w:t xml:space="preserve"> </w:t>
      </w:r>
    </w:p>
    <w:p w14:paraId="39E2E801" w14:textId="7CBF7D45" w:rsidR="00077D80" w:rsidRPr="00BF53BC" w:rsidRDefault="00BF53BC" w:rsidP="0084299F">
      <w:pPr>
        <w:rPr>
          <w:b/>
          <w:sz w:val="22"/>
        </w:rPr>
      </w:pPr>
      <w:r w:rsidRPr="00BF53BC">
        <w:rPr>
          <w:b/>
          <w:sz w:val="22"/>
        </w:rPr>
        <w:t xml:space="preserve">Figure </w:t>
      </w:r>
      <w:r w:rsidR="00E03C3F">
        <w:rPr>
          <w:b/>
          <w:sz w:val="22"/>
        </w:rPr>
        <w:t>8</w:t>
      </w:r>
      <w:r w:rsidRPr="00BF53BC">
        <w:rPr>
          <w:b/>
          <w:sz w:val="22"/>
        </w:rPr>
        <w:t>.  Elwood Recharge</w:t>
      </w:r>
      <w:r>
        <w:rPr>
          <w:b/>
          <w:sz w:val="22"/>
        </w:rPr>
        <w:t xml:space="preserve"> </w:t>
      </w:r>
      <w:r w:rsidRPr="00BF53BC">
        <w:rPr>
          <w:b/>
          <w:sz w:val="22"/>
        </w:rPr>
        <w:t>Pumping Periods and Accretion Rates.</w:t>
      </w:r>
    </w:p>
    <w:p w14:paraId="7CFEA096" w14:textId="77777777" w:rsidR="0084299F" w:rsidRDefault="0084299F" w:rsidP="0084299F">
      <w:pPr>
        <w:rPr>
          <w:b/>
        </w:rPr>
      </w:pPr>
    </w:p>
    <w:p w14:paraId="72A8A437" w14:textId="7CD5524B" w:rsidR="00354C75" w:rsidRDefault="00745BCD">
      <w:pPr>
        <w:rPr>
          <w:b/>
          <w:sz w:val="22"/>
        </w:rPr>
      </w:pPr>
      <w:r w:rsidRPr="00644A9D">
        <w:rPr>
          <w:b/>
        </w:rPr>
        <w:t xml:space="preserve">Table </w:t>
      </w:r>
      <w:r w:rsidR="00A44AA9">
        <w:rPr>
          <w:b/>
        </w:rPr>
        <w:t>8</w:t>
      </w:r>
      <w:r w:rsidR="00E27C8F">
        <w:t xml:space="preserve"> </w:t>
      </w:r>
      <w:r>
        <w:t xml:space="preserve">provides the results of Elwood recharge accounting since the project was initiated in 2015.  </w:t>
      </w:r>
      <w:r w:rsidR="00354C75">
        <w:rPr>
          <w:b/>
          <w:sz w:val="22"/>
        </w:rPr>
        <w:br w:type="page"/>
      </w:r>
    </w:p>
    <w:p w14:paraId="370D8A5D" w14:textId="6FD5A85B" w:rsidR="004446AA" w:rsidRPr="0069660B" w:rsidRDefault="004446AA" w:rsidP="0084299F">
      <w:pPr>
        <w:rPr>
          <w:b/>
          <w:sz w:val="22"/>
        </w:rPr>
      </w:pPr>
      <w:r w:rsidRPr="0069660B">
        <w:rPr>
          <w:b/>
          <w:sz w:val="22"/>
        </w:rPr>
        <w:lastRenderedPageBreak/>
        <w:t xml:space="preserve">Table </w:t>
      </w:r>
      <w:r w:rsidR="00A44AA9">
        <w:rPr>
          <w:b/>
          <w:sz w:val="22"/>
        </w:rPr>
        <w:t>8</w:t>
      </w:r>
      <w:r w:rsidR="009D4FD7">
        <w:rPr>
          <w:b/>
          <w:sz w:val="22"/>
        </w:rPr>
        <w:t>.</w:t>
      </w:r>
      <w:r w:rsidRPr="0069660B">
        <w:rPr>
          <w:b/>
          <w:sz w:val="22"/>
        </w:rPr>
        <w:t xml:space="preserve"> Elwood Reservoir Groundwater Recharge Project </w:t>
      </w:r>
      <w:r w:rsidR="0002179A">
        <w:rPr>
          <w:b/>
          <w:sz w:val="22"/>
        </w:rPr>
        <w:t>Operations Accounting</w:t>
      </w:r>
    </w:p>
    <w:tbl>
      <w:tblPr>
        <w:tblW w:w="9468" w:type="dxa"/>
        <w:tblLayout w:type="fixed"/>
        <w:tblLook w:val="04A0" w:firstRow="1" w:lastRow="0" w:firstColumn="1" w:lastColumn="0" w:noHBand="0" w:noVBand="1"/>
      </w:tblPr>
      <w:tblGrid>
        <w:gridCol w:w="1578"/>
        <w:gridCol w:w="1578"/>
        <w:gridCol w:w="1578"/>
        <w:gridCol w:w="1578"/>
        <w:gridCol w:w="1578"/>
        <w:gridCol w:w="1578"/>
      </w:tblGrid>
      <w:tr w:rsidR="000F57E3" w:rsidRPr="0069660B" w14:paraId="16605E7D" w14:textId="77777777" w:rsidTr="003D3831">
        <w:trPr>
          <w:trHeight w:val="593"/>
        </w:trPr>
        <w:tc>
          <w:tcPr>
            <w:tcW w:w="1578" w:type="dxa"/>
            <w:tcBorders>
              <w:top w:val="single" w:sz="4" w:space="0" w:color="auto"/>
              <w:left w:val="single" w:sz="4" w:space="0" w:color="auto"/>
              <w:bottom w:val="single" w:sz="4" w:space="0" w:color="auto"/>
              <w:right w:val="single" w:sz="4" w:space="0" w:color="auto"/>
            </w:tcBorders>
            <w:shd w:val="clear" w:color="auto" w:fill="C2D69B" w:themeFill="accent3" w:themeFillTint="99"/>
            <w:vAlign w:val="bottom"/>
            <w:hideMark/>
          </w:tcPr>
          <w:p w14:paraId="1D81F524" w14:textId="45E30E96" w:rsidR="000F57E3" w:rsidRPr="00CD354B" w:rsidRDefault="00DB0F13" w:rsidP="000D5A26">
            <w:pPr>
              <w:jc w:val="center"/>
              <w:rPr>
                <w:b/>
                <w:bCs/>
                <w:color w:val="000000"/>
                <w:sz w:val="22"/>
                <w:highlight w:val="yellow"/>
              </w:rPr>
            </w:pPr>
            <w:r>
              <w:rPr>
                <w:b/>
                <w:bCs/>
                <w:color w:val="000000"/>
                <w:sz w:val="22"/>
              </w:rPr>
              <w:t>Year</w:t>
            </w:r>
          </w:p>
        </w:tc>
        <w:tc>
          <w:tcPr>
            <w:tcW w:w="1578" w:type="dxa"/>
            <w:tcBorders>
              <w:top w:val="single" w:sz="4" w:space="0" w:color="auto"/>
              <w:left w:val="nil"/>
              <w:bottom w:val="single" w:sz="4" w:space="0" w:color="auto"/>
              <w:right w:val="single" w:sz="4" w:space="0" w:color="auto"/>
            </w:tcBorders>
            <w:shd w:val="clear" w:color="auto" w:fill="C2D69B" w:themeFill="accent3" w:themeFillTint="99"/>
            <w:vAlign w:val="bottom"/>
          </w:tcPr>
          <w:p w14:paraId="2F28049D" w14:textId="110A9CDC" w:rsidR="000D5A26" w:rsidRPr="00CD354B" w:rsidRDefault="000D5A26" w:rsidP="000D5A26">
            <w:pPr>
              <w:jc w:val="center"/>
              <w:rPr>
                <w:b/>
                <w:bCs/>
                <w:color w:val="000000"/>
                <w:sz w:val="22"/>
              </w:rPr>
            </w:pPr>
            <w:r w:rsidRPr="00CD354B">
              <w:rPr>
                <w:b/>
                <w:bCs/>
                <w:color w:val="000000"/>
                <w:sz w:val="22"/>
              </w:rPr>
              <w:t xml:space="preserve">Invoiced Diversions </w:t>
            </w:r>
          </w:p>
          <w:p w14:paraId="0047C6F6" w14:textId="3032FD31" w:rsidR="000F57E3" w:rsidRPr="00CD354B" w:rsidRDefault="000D5A26" w:rsidP="000D5A26">
            <w:pPr>
              <w:jc w:val="center"/>
              <w:rPr>
                <w:b/>
                <w:bCs/>
                <w:color w:val="000000"/>
                <w:sz w:val="22"/>
              </w:rPr>
            </w:pPr>
            <w:r w:rsidRPr="00CD354B">
              <w:rPr>
                <w:b/>
                <w:bCs/>
                <w:color w:val="000000"/>
                <w:sz w:val="22"/>
              </w:rPr>
              <w:t>(AF)</w:t>
            </w:r>
          </w:p>
        </w:tc>
        <w:tc>
          <w:tcPr>
            <w:tcW w:w="1578" w:type="dxa"/>
            <w:tcBorders>
              <w:top w:val="single" w:sz="4" w:space="0" w:color="auto"/>
              <w:left w:val="single" w:sz="4" w:space="0" w:color="auto"/>
              <w:bottom w:val="single" w:sz="4" w:space="0" w:color="auto"/>
              <w:right w:val="single" w:sz="4" w:space="0" w:color="auto"/>
            </w:tcBorders>
            <w:shd w:val="clear" w:color="auto" w:fill="C2D69B" w:themeFill="accent3" w:themeFillTint="99"/>
            <w:vAlign w:val="bottom"/>
            <w:hideMark/>
          </w:tcPr>
          <w:p w14:paraId="1DA63A60" w14:textId="108D2011" w:rsidR="000F57E3" w:rsidRPr="00CD354B" w:rsidRDefault="00EF5742" w:rsidP="000D5A26">
            <w:pPr>
              <w:jc w:val="center"/>
              <w:rPr>
                <w:b/>
                <w:bCs/>
                <w:color w:val="000000"/>
                <w:sz w:val="22"/>
              </w:rPr>
            </w:pPr>
            <w:r>
              <w:rPr>
                <w:b/>
                <w:bCs/>
                <w:color w:val="000000"/>
                <w:sz w:val="22"/>
              </w:rPr>
              <w:t>Volume</w:t>
            </w:r>
            <w:r w:rsidR="000F57E3" w:rsidRPr="00CD354B">
              <w:rPr>
                <w:b/>
                <w:bCs/>
                <w:color w:val="000000"/>
                <w:sz w:val="22"/>
              </w:rPr>
              <w:t xml:space="preserve"> Recharged</w:t>
            </w:r>
          </w:p>
          <w:p w14:paraId="0D1A359E" w14:textId="525D3D82" w:rsidR="000F57E3" w:rsidRPr="00CD354B" w:rsidRDefault="000F57E3" w:rsidP="000D5A26">
            <w:pPr>
              <w:jc w:val="center"/>
              <w:rPr>
                <w:b/>
                <w:bCs/>
                <w:color w:val="000000"/>
                <w:sz w:val="22"/>
                <w:highlight w:val="yellow"/>
              </w:rPr>
            </w:pPr>
            <w:r w:rsidRPr="00CD354B">
              <w:rPr>
                <w:b/>
                <w:bCs/>
                <w:color w:val="000000"/>
                <w:sz w:val="22"/>
              </w:rPr>
              <w:t>(AF)</w:t>
            </w:r>
          </w:p>
        </w:tc>
        <w:tc>
          <w:tcPr>
            <w:tcW w:w="1578" w:type="dxa"/>
            <w:tcBorders>
              <w:top w:val="single" w:sz="4" w:space="0" w:color="auto"/>
              <w:left w:val="nil"/>
              <w:bottom w:val="single" w:sz="4" w:space="0" w:color="auto"/>
              <w:right w:val="single" w:sz="4" w:space="0" w:color="auto"/>
            </w:tcBorders>
            <w:shd w:val="clear" w:color="auto" w:fill="C2D69B" w:themeFill="accent3" w:themeFillTint="99"/>
            <w:vAlign w:val="bottom"/>
            <w:hideMark/>
          </w:tcPr>
          <w:p w14:paraId="41879F7A" w14:textId="1113D850" w:rsidR="000F57E3" w:rsidRPr="00CD354B" w:rsidRDefault="000F57E3" w:rsidP="000D5A26">
            <w:pPr>
              <w:jc w:val="center"/>
              <w:rPr>
                <w:b/>
                <w:bCs/>
                <w:color w:val="000000"/>
                <w:sz w:val="22"/>
                <w:highlight w:val="yellow"/>
              </w:rPr>
            </w:pPr>
            <w:r w:rsidRPr="00CD354B">
              <w:rPr>
                <w:b/>
                <w:bCs/>
                <w:color w:val="000000"/>
                <w:sz w:val="22"/>
              </w:rPr>
              <w:t>Lagged Accretions</w:t>
            </w:r>
            <w:r w:rsidR="00EF5742">
              <w:rPr>
                <w:b/>
                <w:bCs/>
                <w:color w:val="000000"/>
                <w:sz w:val="22"/>
              </w:rPr>
              <w:t xml:space="preserve"> at the River</w:t>
            </w:r>
            <w:r w:rsidRPr="00CD354B">
              <w:rPr>
                <w:b/>
                <w:bCs/>
                <w:color w:val="000000"/>
                <w:sz w:val="22"/>
              </w:rPr>
              <w:t xml:space="preserve"> </w:t>
            </w:r>
            <w:r w:rsidRPr="00CD354B">
              <w:rPr>
                <w:b/>
                <w:bCs/>
                <w:color w:val="000000"/>
                <w:sz w:val="22"/>
              </w:rPr>
              <w:br/>
              <w:t>(AF)</w:t>
            </w:r>
          </w:p>
        </w:tc>
        <w:tc>
          <w:tcPr>
            <w:tcW w:w="1578" w:type="dxa"/>
            <w:tcBorders>
              <w:top w:val="single" w:sz="4" w:space="0" w:color="auto"/>
              <w:left w:val="nil"/>
              <w:bottom w:val="single" w:sz="4" w:space="0" w:color="auto"/>
              <w:right w:val="single" w:sz="4" w:space="0" w:color="auto"/>
            </w:tcBorders>
            <w:shd w:val="clear" w:color="auto" w:fill="C2D69B" w:themeFill="accent3" w:themeFillTint="99"/>
            <w:vAlign w:val="bottom"/>
            <w:hideMark/>
          </w:tcPr>
          <w:p w14:paraId="0AFDE430" w14:textId="415E2804" w:rsidR="000F57E3" w:rsidRPr="00CD354B" w:rsidRDefault="0002179A" w:rsidP="000D5A26">
            <w:pPr>
              <w:jc w:val="center"/>
              <w:rPr>
                <w:b/>
                <w:bCs/>
                <w:color w:val="000000"/>
                <w:sz w:val="22"/>
                <w:highlight w:val="yellow"/>
              </w:rPr>
            </w:pPr>
            <w:r>
              <w:rPr>
                <w:b/>
                <w:bCs/>
                <w:color w:val="000000"/>
                <w:sz w:val="22"/>
              </w:rPr>
              <w:t>Accretions Reaching</w:t>
            </w:r>
            <w:r w:rsidR="000F57E3" w:rsidRPr="00CD354B">
              <w:rPr>
                <w:b/>
                <w:bCs/>
                <w:color w:val="000000"/>
                <w:sz w:val="22"/>
              </w:rPr>
              <w:t xml:space="preserve"> Grand Island</w:t>
            </w:r>
            <w:r w:rsidR="000F57E3" w:rsidRPr="00CD354B">
              <w:rPr>
                <w:b/>
                <w:bCs/>
                <w:color w:val="000000"/>
                <w:sz w:val="22"/>
              </w:rPr>
              <w:br/>
              <w:t>(AF)</w:t>
            </w:r>
          </w:p>
        </w:tc>
        <w:tc>
          <w:tcPr>
            <w:tcW w:w="1578" w:type="dxa"/>
            <w:tcBorders>
              <w:top w:val="single" w:sz="4" w:space="0" w:color="auto"/>
              <w:left w:val="nil"/>
              <w:bottom w:val="single" w:sz="4" w:space="0" w:color="auto"/>
              <w:right w:val="single" w:sz="4" w:space="0" w:color="auto"/>
            </w:tcBorders>
            <w:shd w:val="clear" w:color="auto" w:fill="C2D69B" w:themeFill="accent3" w:themeFillTint="99"/>
            <w:vAlign w:val="bottom"/>
            <w:hideMark/>
          </w:tcPr>
          <w:p w14:paraId="4927C93F" w14:textId="5431E8B6" w:rsidR="000F57E3" w:rsidRPr="00CD354B" w:rsidRDefault="0002179A" w:rsidP="000D5A26">
            <w:pPr>
              <w:jc w:val="center"/>
              <w:rPr>
                <w:b/>
                <w:bCs/>
                <w:color w:val="000000"/>
                <w:sz w:val="22"/>
                <w:highlight w:val="yellow"/>
              </w:rPr>
            </w:pPr>
            <w:r>
              <w:rPr>
                <w:b/>
                <w:bCs/>
                <w:color w:val="000000"/>
                <w:sz w:val="22"/>
              </w:rPr>
              <w:t>Reductions to Target Flow Deficits</w:t>
            </w:r>
            <w:r w:rsidR="000F57E3" w:rsidRPr="00CD354B">
              <w:rPr>
                <w:b/>
                <w:bCs/>
                <w:color w:val="000000"/>
                <w:sz w:val="22"/>
              </w:rPr>
              <w:t xml:space="preserve"> </w:t>
            </w:r>
            <w:r w:rsidR="000F57E3" w:rsidRPr="00CD354B">
              <w:rPr>
                <w:b/>
                <w:bCs/>
                <w:color w:val="000000"/>
                <w:sz w:val="22"/>
              </w:rPr>
              <w:br/>
              <w:t>(AF)</w:t>
            </w:r>
          </w:p>
        </w:tc>
      </w:tr>
      <w:tr w:rsidR="00B60604" w:rsidRPr="0069660B" w14:paraId="64E51999" w14:textId="77777777" w:rsidTr="00B60604">
        <w:trPr>
          <w:trHeight w:val="288"/>
        </w:trPr>
        <w:tc>
          <w:tcPr>
            <w:tcW w:w="1578" w:type="dxa"/>
            <w:tcBorders>
              <w:top w:val="nil"/>
              <w:left w:val="single" w:sz="4" w:space="0" w:color="auto"/>
              <w:bottom w:val="single" w:sz="4" w:space="0" w:color="auto"/>
              <w:right w:val="single" w:sz="4" w:space="0" w:color="auto"/>
            </w:tcBorders>
            <w:shd w:val="clear" w:color="auto" w:fill="auto"/>
            <w:noWrap/>
            <w:vAlign w:val="center"/>
            <w:hideMark/>
          </w:tcPr>
          <w:p w14:paraId="0A15AAC5" w14:textId="77777777" w:rsidR="00B60604" w:rsidRPr="00CD354B" w:rsidRDefault="00B60604" w:rsidP="00B60604">
            <w:pPr>
              <w:jc w:val="center"/>
              <w:rPr>
                <w:color w:val="000000"/>
                <w:sz w:val="22"/>
              </w:rPr>
            </w:pPr>
            <w:r w:rsidRPr="00CD354B">
              <w:rPr>
                <w:color w:val="000000"/>
                <w:sz w:val="22"/>
              </w:rPr>
              <w:t>2015</w:t>
            </w:r>
          </w:p>
        </w:tc>
        <w:tc>
          <w:tcPr>
            <w:tcW w:w="1578" w:type="dxa"/>
            <w:tcBorders>
              <w:top w:val="single" w:sz="4" w:space="0" w:color="auto"/>
              <w:left w:val="nil"/>
              <w:bottom w:val="single" w:sz="4" w:space="0" w:color="auto"/>
              <w:right w:val="single" w:sz="4" w:space="0" w:color="auto"/>
            </w:tcBorders>
            <w:vAlign w:val="center"/>
          </w:tcPr>
          <w:p w14:paraId="471F95C1" w14:textId="42BA3E57" w:rsidR="00B60604" w:rsidRPr="00CD354B" w:rsidRDefault="00B60604" w:rsidP="00B60604">
            <w:pPr>
              <w:jc w:val="center"/>
              <w:rPr>
                <w:color w:val="000000"/>
                <w:sz w:val="22"/>
              </w:rPr>
            </w:pPr>
            <w:r w:rsidRPr="00CD354B">
              <w:rPr>
                <w:sz w:val="22"/>
              </w:rPr>
              <w:t>14,785</w:t>
            </w:r>
          </w:p>
        </w:tc>
        <w:tc>
          <w:tcPr>
            <w:tcW w:w="1578" w:type="dxa"/>
            <w:tcBorders>
              <w:top w:val="nil"/>
              <w:left w:val="single" w:sz="4" w:space="0" w:color="auto"/>
              <w:bottom w:val="single" w:sz="4" w:space="0" w:color="auto"/>
              <w:right w:val="single" w:sz="4" w:space="0" w:color="auto"/>
            </w:tcBorders>
            <w:shd w:val="clear" w:color="auto" w:fill="auto"/>
            <w:noWrap/>
            <w:vAlign w:val="center"/>
          </w:tcPr>
          <w:p w14:paraId="7C44F45F" w14:textId="389746D9" w:rsidR="00B60604" w:rsidRPr="00B60604" w:rsidRDefault="00B60604" w:rsidP="00B60604">
            <w:pPr>
              <w:jc w:val="center"/>
              <w:rPr>
                <w:color w:val="000000"/>
                <w:sz w:val="22"/>
              </w:rPr>
            </w:pPr>
            <w:r w:rsidRPr="00B60604">
              <w:rPr>
                <w:color w:val="000000"/>
                <w:sz w:val="22"/>
              </w:rPr>
              <w:t>3,700</w:t>
            </w:r>
          </w:p>
        </w:tc>
        <w:tc>
          <w:tcPr>
            <w:tcW w:w="1578" w:type="dxa"/>
            <w:tcBorders>
              <w:top w:val="nil"/>
              <w:left w:val="nil"/>
              <w:bottom w:val="single" w:sz="4" w:space="0" w:color="auto"/>
              <w:right w:val="single" w:sz="4" w:space="0" w:color="auto"/>
            </w:tcBorders>
            <w:shd w:val="clear" w:color="auto" w:fill="auto"/>
            <w:noWrap/>
            <w:vAlign w:val="center"/>
          </w:tcPr>
          <w:p w14:paraId="7C5FD22D" w14:textId="0C466877" w:rsidR="00B60604" w:rsidRPr="00B60604" w:rsidRDefault="00B60604" w:rsidP="00B60604">
            <w:pPr>
              <w:jc w:val="center"/>
              <w:rPr>
                <w:color w:val="000000"/>
                <w:sz w:val="22"/>
              </w:rPr>
            </w:pPr>
            <w:r w:rsidRPr="00B60604">
              <w:rPr>
                <w:color w:val="000000"/>
                <w:sz w:val="22"/>
              </w:rPr>
              <w:t>10</w:t>
            </w:r>
          </w:p>
        </w:tc>
        <w:tc>
          <w:tcPr>
            <w:tcW w:w="1578" w:type="dxa"/>
            <w:tcBorders>
              <w:top w:val="nil"/>
              <w:left w:val="nil"/>
              <w:bottom w:val="single" w:sz="4" w:space="0" w:color="auto"/>
              <w:right w:val="single" w:sz="4" w:space="0" w:color="auto"/>
            </w:tcBorders>
            <w:shd w:val="clear" w:color="auto" w:fill="auto"/>
            <w:noWrap/>
            <w:vAlign w:val="center"/>
          </w:tcPr>
          <w:p w14:paraId="030EF752" w14:textId="32A76B20" w:rsidR="00B60604" w:rsidRPr="00B60604" w:rsidRDefault="00B60604" w:rsidP="00B60604">
            <w:pPr>
              <w:jc w:val="center"/>
              <w:rPr>
                <w:color w:val="000000"/>
                <w:sz w:val="22"/>
              </w:rPr>
            </w:pPr>
            <w:r w:rsidRPr="00B60604">
              <w:rPr>
                <w:color w:val="000000"/>
                <w:sz w:val="22"/>
              </w:rPr>
              <w:t>10</w:t>
            </w:r>
          </w:p>
        </w:tc>
        <w:tc>
          <w:tcPr>
            <w:tcW w:w="1578" w:type="dxa"/>
            <w:tcBorders>
              <w:top w:val="nil"/>
              <w:left w:val="nil"/>
              <w:bottom w:val="single" w:sz="4" w:space="0" w:color="auto"/>
              <w:right w:val="single" w:sz="4" w:space="0" w:color="auto"/>
            </w:tcBorders>
            <w:shd w:val="clear" w:color="auto" w:fill="auto"/>
            <w:noWrap/>
            <w:vAlign w:val="center"/>
          </w:tcPr>
          <w:p w14:paraId="7032B8B6" w14:textId="43B9B7EE" w:rsidR="00B60604" w:rsidRPr="00B60604" w:rsidRDefault="00B60604" w:rsidP="00B60604">
            <w:pPr>
              <w:jc w:val="center"/>
              <w:rPr>
                <w:color w:val="000000"/>
                <w:sz w:val="22"/>
              </w:rPr>
            </w:pPr>
            <w:r w:rsidRPr="00B60604">
              <w:rPr>
                <w:color w:val="000000"/>
                <w:sz w:val="22"/>
              </w:rPr>
              <w:t>0</w:t>
            </w:r>
          </w:p>
        </w:tc>
      </w:tr>
      <w:tr w:rsidR="00B60604" w:rsidRPr="0069660B" w14:paraId="185CDF36" w14:textId="77777777" w:rsidTr="00B60604">
        <w:trPr>
          <w:trHeight w:val="288"/>
        </w:trPr>
        <w:tc>
          <w:tcPr>
            <w:tcW w:w="1578" w:type="dxa"/>
            <w:tcBorders>
              <w:top w:val="nil"/>
              <w:left w:val="single" w:sz="4" w:space="0" w:color="auto"/>
              <w:bottom w:val="single" w:sz="4" w:space="0" w:color="auto"/>
              <w:right w:val="single" w:sz="4" w:space="0" w:color="auto"/>
            </w:tcBorders>
            <w:shd w:val="clear" w:color="auto" w:fill="auto"/>
            <w:noWrap/>
            <w:vAlign w:val="center"/>
            <w:hideMark/>
          </w:tcPr>
          <w:p w14:paraId="441400B0" w14:textId="77777777" w:rsidR="00B60604" w:rsidRPr="00CD354B" w:rsidRDefault="00B60604" w:rsidP="00B60604">
            <w:pPr>
              <w:jc w:val="center"/>
              <w:rPr>
                <w:color w:val="000000"/>
                <w:sz w:val="22"/>
              </w:rPr>
            </w:pPr>
            <w:r w:rsidRPr="00CD354B">
              <w:rPr>
                <w:color w:val="000000"/>
                <w:sz w:val="22"/>
              </w:rPr>
              <w:t>2016</w:t>
            </w:r>
          </w:p>
        </w:tc>
        <w:tc>
          <w:tcPr>
            <w:tcW w:w="1578" w:type="dxa"/>
            <w:tcBorders>
              <w:top w:val="single" w:sz="4" w:space="0" w:color="auto"/>
              <w:left w:val="nil"/>
              <w:bottom w:val="single" w:sz="4" w:space="0" w:color="auto"/>
              <w:right w:val="single" w:sz="4" w:space="0" w:color="auto"/>
            </w:tcBorders>
            <w:vAlign w:val="center"/>
          </w:tcPr>
          <w:p w14:paraId="00A54D9A" w14:textId="25D2D6D0" w:rsidR="00B60604" w:rsidRPr="00CD354B" w:rsidRDefault="00B60604" w:rsidP="00B60604">
            <w:pPr>
              <w:jc w:val="center"/>
              <w:rPr>
                <w:color w:val="000000"/>
                <w:sz w:val="22"/>
              </w:rPr>
            </w:pPr>
            <w:r w:rsidRPr="00CD354B">
              <w:rPr>
                <w:sz w:val="22"/>
              </w:rPr>
              <w:t>2,880</w:t>
            </w:r>
          </w:p>
        </w:tc>
        <w:tc>
          <w:tcPr>
            <w:tcW w:w="1578" w:type="dxa"/>
            <w:tcBorders>
              <w:top w:val="nil"/>
              <w:left w:val="single" w:sz="4" w:space="0" w:color="auto"/>
              <w:bottom w:val="single" w:sz="4" w:space="0" w:color="auto"/>
              <w:right w:val="single" w:sz="4" w:space="0" w:color="auto"/>
            </w:tcBorders>
            <w:shd w:val="clear" w:color="auto" w:fill="auto"/>
            <w:noWrap/>
            <w:vAlign w:val="center"/>
          </w:tcPr>
          <w:p w14:paraId="4E6B2E50" w14:textId="7E75FE96" w:rsidR="00B60604" w:rsidRPr="00B60604" w:rsidRDefault="00B60604" w:rsidP="00B60604">
            <w:pPr>
              <w:jc w:val="center"/>
              <w:rPr>
                <w:color w:val="000000"/>
                <w:sz w:val="22"/>
              </w:rPr>
            </w:pPr>
            <w:r w:rsidRPr="00B60604">
              <w:rPr>
                <w:color w:val="000000"/>
                <w:sz w:val="22"/>
              </w:rPr>
              <w:t>5,800</w:t>
            </w:r>
          </w:p>
        </w:tc>
        <w:tc>
          <w:tcPr>
            <w:tcW w:w="1578" w:type="dxa"/>
            <w:tcBorders>
              <w:top w:val="nil"/>
              <w:left w:val="nil"/>
              <w:bottom w:val="single" w:sz="4" w:space="0" w:color="auto"/>
              <w:right w:val="single" w:sz="4" w:space="0" w:color="auto"/>
            </w:tcBorders>
            <w:shd w:val="clear" w:color="auto" w:fill="auto"/>
            <w:noWrap/>
            <w:vAlign w:val="center"/>
          </w:tcPr>
          <w:p w14:paraId="00DC8CC1" w14:textId="2190FE2C" w:rsidR="00B60604" w:rsidRPr="00B60604" w:rsidRDefault="00B60604" w:rsidP="00B60604">
            <w:pPr>
              <w:jc w:val="center"/>
              <w:rPr>
                <w:color w:val="000000"/>
                <w:sz w:val="22"/>
              </w:rPr>
            </w:pPr>
            <w:r w:rsidRPr="00B60604">
              <w:rPr>
                <w:color w:val="000000"/>
                <w:sz w:val="22"/>
              </w:rPr>
              <w:t>750</w:t>
            </w:r>
          </w:p>
        </w:tc>
        <w:tc>
          <w:tcPr>
            <w:tcW w:w="1578" w:type="dxa"/>
            <w:tcBorders>
              <w:top w:val="nil"/>
              <w:left w:val="nil"/>
              <w:bottom w:val="single" w:sz="4" w:space="0" w:color="auto"/>
              <w:right w:val="single" w:sz="4" w:space="0" w:color="auto"/>
            </w:tcBorders>
            <w:shd w:val="clear" w:color="auto" w:fill="auto"/>
            <w:noWrap/>
            <w:vAlign w:val="center"/>
          </w:tcPr>
          <w:p w14:paraId="28108BDA" w14:textId="3A7A212E" w:rsidR="00B60604" w:rsidRPr="00B60604" w:rsidRDefault="00B60604" w:rsidP="00B60604">
            <w:pPr>
              <w:jc w:val="center"/>
              <w:rPr>
                <w:color w:val="000000"/>
                <w:sz w:val="22"/>
              </w:rPr>
            </w:pPr>
            <w:r w:rsidRPr="00B60604">
              <w:rPr>
                <w:color w:val="000000"/>
                <w:sz w:val="22"/>
              </w:rPr>
              <w:t>660</w:t>
            </w:r>
          </w:p>
        </w:tc>
        <w:tc>
          <w:tcPr>
            <w:tcW w:w="1578" w:type="dxa"/>
            <w:tcBorders>
              <w:top w:val="nil"/>
              <w:left w:val="nil"/>
              <w:bottom w:val="single" w:sz="4" w:space="0" w:color="auto"/>
              <w:right w:val="single" w:sz="4" w:space="0" w:color="auto"/>
            </w:tcBorders>
            <w:shd w:val="clear" w:color="auto" w:fill="auto"/>
            <w:noWrap/>
            <w:vAlign w:val="center"/>
          </w:tcPr>
          <w:p w14:paraId="1DD1E578" w14:textId="1394B875" w:rsidR="00B60604" w:rsidRPr="00B60604" w:rsidRDefault="00B60604" w:rsidP="00B60604">
            <w:pPr>
              <w:jc w:val="center"/>
              <w:rPr>
                <w:color w:val="000000"/>
                <w:sz w:val="22"/>
              </w:rPr>
            </w:pPr>
            <w:r w:rsidRPr="00B60604">
              <w:rPr>
                <w:color w:val="000000"/>
                <w:sz w:val="22"/>
              </w:rPr>
              <w:t>220</w:t>
            </w:r>
          </w:p>
        </w:tc>
      </w:tr>
      <w:tr w:rsidR="00B60604" w:rsidRPr="0069660B" w14:paraId="7B3B9FFE" w14:textId="77777777" w:rsidTr="00B60604">
        <w:trPr>
          <w:trHeight w:val="288"/>
        </w:trPr>
        <w:tc>
          <w:tcPr>
            <w:tcW w:w="1578" w:type="dxa"/>
            <w:tcBorders>
              <w:top w:val="nil"/>
              <w:left w:val="single" w:sz="4" w:space="0" w:color="auto"/>
              <w:bottom w:val="single" w:sz="4" w:space="0" w:color="auto"/>
              <w:right w:val="single" w:sz="4" w:space="0" w:color="auto"/>
            </w:tcBorders>
            <w:shd w:val="clear" w:color="auto" w:fill="auto"/>
            <w:noWrap/>
            <w:vAlign w:val="center"/>
            <w:hideMark/>
          </w:tcPr>
          <w:p w14:paraId="3DEBD5B3" w14:textId="77777777" w:rsidR="00B60604" w:rsidRPr="00CD354B" w:rsidRDefault="00B60604" w:rsidP="00B60604">
            <w:pPr>
              <w:jc w:val="center"/>
              <w:rPr>
                <w:color w:val="000000"/>
                <w:sz w:val="22"/>
              </w:rPr>
            </w:pPr>
            <w:r w:rsidRPr="00CD354B">
              <w:rPr>
                <w:color w:val="000000"/>
                <w:sz w:val="22"/>
              </w:rPr>
              <w:t>2017</w:t>
            </w:r>
          </w:p>
        </w:tc>
        <w:tc>
          <w:tcPr>
            <w:tcW w:w="1578" w:type="dxa"/>
            <w:tcBorders>
              <w:top w:val="single" w:sz="4" w:space="0" w:color="auto"/>
              <w:left w:val="nil"/>
              <w:bottom w:val="single" w:sz="4" w:space="0" w:color="auto"/>
              <w:right w:val="single" w:sz="4" w:space="0" w:color="auto"/>
            </w:tcBorders>
            <w:vAlign w:val="center"/>
          </w:tcPr>
          <w:p w14:paraId="43BEF2A0" w14:textId="2F2C4310" w:rsidR="00B60604" w:rsidRPr="00CD354B" w:rsidRDefault="00B60604" w:rsidP="00B60604">
            <w:pPr>
              <w:jc w:val="center"/>
              <w:rPr>
                <w:color w:val="000000"/>
                <w:sz w:val="22"/>
              </w:rPr>
            </w:pPr>
            <w:r w:rsidRPr="00CD354B">
              <w:rPr>
                <w:sz w:val="22"/>
              </w:rPr>
              <w:t>11,524.3</w:t>
            </w:r>
          </w:p>
        </w:tc>
        <w:tc>
          <w:tcPr>
            <w:tcW w:w="1578" w:type="dxa"/>
            <w:tcBorders>
              <w:top w:val="nil"/>
              <w:left w:val="single" w:sz="4" w:space="0" w:color="auto"/>
              <w:bottom w:val="single" w:sz="4" w:space="0" w:color="auto"/>
              <w:right w:val="single" w:sz="4" w:space="0" w:color="auto"/>
            </w:tcBorders>
            <w:shd w:val="clear" w:color="auto" w:fill="auto"/>
            <w:noWrap/>
            <w:vAlign w:val="center"/>
          </w:tcPr>
          <w:p w14:paraId="1B720344" w14:textId="6666CC06" w:rsidR="00B60604" w:rsidRPr="00B60604" w:rsidRDefault="00B60604" w:rsidP="00B60604">
            <w:pPr>
              <w:jc w:val="center"/>
              <w:rPr>
                <w:color w:val="000000"/>
                <w:sz w:val="22"/>
              </w:rPr>
            </w:pPr>
            <w:r w:rsidRPr="00B60604">
              <w:rPr>
                <w:color w:val="000000"/>
                <w:sz w:val="22"/>
              </w:rPr>
              <w:t>6,800</w:t>
            </w:r>
          </w:p>
        </w:tc>
        <w:tc>
          <w:tcPr>
            <w:tcW w:w="1578" w:type="dxa"/>
            <w:tcBorders>
              <w:top w:val="nil"/>
              <w:left w:val="nil"/>
              <w:bottom w:val="single" w:sz="4" w:space="0" w:color="auto"/>
              <w:right w:val="single" w:sz="4" w:space="0" w:color="auto"/>
            </w:tcBorders>
            <w:shd w:val="clear" w:color="auto" w:fill="auto"/>
            <w:noWrap/>
            <w:vAlign w:val="center"/>
          </w:tcPr>
          <w:p w14:paraId="7FF41194" w14:textId="7D9B86E9" w:rsidR="00B60604" w:rsidRPr="00B60604" w:rsidRDefault="00B60604" w:rsidP="00B60604">
            <w:pPr>
              <w:jc w:val="center"/>
              <w:rPr>
                <w:color w:val="000000"/>
                <w:sz w:val="22"/>
              </w:rPr>
            </w:pPr>
            <w:r w:rsidRPr="00B60604">
              <w:rPr>
                <w:color w:val="000000"/>
                <w:sz w:val="22"/>
              </w:rPr>
              <w:t>1,400</w:t>
            </w:r>
          </w:p>
        </w:tc>
        <w:tc>
          <w:tcPr>
            <w:tcW w:w="1578" w:type="dxa"/>
            <w:tcBorders>
              <w:top w:val="nil"/>
              <w:left w:val="nil"/>
              <w:bottom w:val="single" w:sz="4" w:space="0" w:color="auto"/>
              <w:right w:val="single" w:sz="4" w:space="0" w:color="auto"/>
            </w:tcBorders>
            <w:shd w:val="clear" w:color="auto" w:fill="auto"/>
            <w:noWrap/>
            <w:vAlign w:val="center"/>
          </w:tcPr>
          <w:p w14:paraId="51535EB7" w14:textId="0161A558" w:rsidR="00B60604" w:rsidRPr="00B60604" w:rsidRDefault="00B60604" w:rsidP="00B60604">
            <w:pPr>
              <w:jc w:val="center"/>
              <w:rPr>
                <w:color w:val="000000"/>
                <w:sz w:val="22"/>
              </w:rPr>
            </w:pPr>
            <w:r w:rsidRPr="00B60604">
              <w:rPr>
                <w:color w:val="000000"/>
                <w:sz w:val="22"/>
              </w:rPr>
              <w:t>1,100</w:t>
            </w:r>
          </w:p>
        </w:tc>
        <w:tc>
          <w:tcPr>
            <w:tcW w:w="1578" w:type="dxa"/>
            <w:tcBorders>
              <w:top w:val="nil"/>
              <w:left w:val="nil"/>
              <w:bottom w:val="single" w:sz="4" w:space="0" w:color="auto"/>
              <w:right w:val="single" w:sz="4" w:space="0" w:color="auto"/>
            </w:tcBorders>
            <w:shd w:val="clear" w:color="auto" w:fill="auto"/>
            <w:noWrap/>
            <w:vAlign w:val="center"/>
          </w:tcPr>
          <w:p w14:paraId="06656761" w14:textId="1323060C" w:rsidR="00B60604" w:rsidRPr="00B60604" w:rsidRDefault="00B60604" w:rsidP="00B60604">
            <w:pPr>
              <w:jc w:val="center"/>
              <w:rPr>
                <w:color w:val="000000"/>
                <w:sz w:val="22"/>
              </w:rPr>
            </w:pPr>
            <w:r w:rsidRPr="00B60604">
              <w:rPr>
                <w:color w:val="000000"/>
                <w:sz w:val="22"/>
              </w:rPr>
              <w:t>600</w:t>
            </w:r>
          </w:p>
        </w:tc>
      </w:tr>
      <w:tr w:rsidR="00B60604" w:rsidRPr="0069660B" w14:paraId="3C6F980F" w14:textId="77777777" w:rsidTr="00B60604">
        <w:trPr>
          <w:trHeight w:val="288"/>
        </w:trPr>
        <w:tc>
          <w:tcPr>
            <w:tcW w:w="1578" w:type="dxa"/>
            <w:tcBorders>
              <w:top w:val="nil"/>
              <w:left w:val="single" w:sz="4" w:space="0" w:color="auto"/>
              <w:bottom w:val="single" w:sz="4" w:space="0" w:color="auto"/>
              <w:right w:val="single" w:sz="4" w:space="0" w:color="auto"/>
            </w:tcBorders>
            <w:shd w:val="clear" w:color="auto" w:fill="auto"/>
            <w:noWrap/>
            <w:vAlign w:val="center"/>
          </w:tcPr>
          <w:p w14:paraId="7270BD2A" w14:textId="4E5D4409" w:rsidR="00B60604" w:rsidRPr="00CD354B" w:rsidRDefault="00B60604" w:rsidP="00B60604">
            <w:pPr>
              <w:jc w:val="center"/>
              <w:rPr>
                <w:color w:val="000000"/>
                <w:sz w:val="22"/>
              </w:rPr>
            </w:pPr>
            <w:r w:rsidRPr="00CD354B">
              <w:rPr>
                <w:color w:val="000000"/>
                <w:sz w:val="22"/>
              </w:rPr>
              <w:t>2018</w:t>
            </w:r>
          </w:p>
        </w:tc>
        <w:tc>
          <w:tcPr>
            <w:tcW w:w="1578" w:type="dxa"/>
            <w:tcBorders>
              <w:top w:val="single" w:sz="4" w:space="0" w:color="auto"/>
              <w:left w:val="nil"/>
              <w:bottom w:val="single" w:sz="4" w:space="0" w:color="auto"/>
              <w:right w:val="single" w:sz="4" w:space="0" w:color="auto"/>
            </w:tcBorders>
            <w:vAlign w:val="center"/>
          </w:tcPr>
          <w:p w14:paraId="26803E25" w14:textId="094E35D0" w:rsidR="00B60604" w:rsidRPr="00CD354B" w:rsidRDefault="00B60604" w:rsidP="00B60604">
            <w:pPr>
              <w:jc w:val="center"/>
              <w:rPr>
                <w:color w:val="000000"/>
                <w:sz w:val="22"/>
              </w:rPr>
            </w:pPr>
            <w:r w:rsidRPr="00CD354B">
              <w:rPr>
                <w:sz w:val="22"/>
              </w:rPr>
              <w:t>14,915.5</w:t>
            </w:r>
          </w:p>
        </w:tc>
        <w:tc>
          <w:tcPr>
            <w:tcW w:w="1578" w:type="dxa"/>
            <w:tcBorders>
              <w:top w:val="nil"/>
              <w:left w:val="single" w:sz="4" w:space="0" w:color="auto"/>
              <w:bottom w:val="single" w:sz="4" w:space="0" w:color="auto"/>
              <w:right w:val="single" w:sz="4" w:space="0" w:color="auto"/>
            </w:tcBorders>
            <w:shd w:val="clear" w:color="auto" w:fill="auto"/>
            <w:noWrap/>
            <w:vAlign w:val="center"/>
          </w:tcPr>
          <w:p w14:paraId="6A15E3F9" w14:textId="72C9E5E1" w:rsidR="00B60604" w:rsidRPr="00B60604" w:rsidRDefault="00B60604" w:rsidP="00B60604">
            <w:pPr>
              <w:jc w:val="center"/>
              <w:rPr>
                <w:color w:val="000000"/>
                <w:sz w:val="22"/>
                <w:highlight w:val="yellow"/>
              </w:rPr>
            </w:pPr>
            <w:r w:rsidRPr="00B60604">
              <w:rPr>
                <w:color w:val="000000"/>
                <w:sz w:val="22"/>
              </w:rPr>
              <w:t>8,500</w:t>
            </w:r>
          </w:p>
        </w:tc>
        <w:tc>
          <w:tcPr>
            <w:tcW w:w="1578" w:type="dxa"/>
            <w:tcBorders>
              <w:top w:val="nil"/>
              <w:left w:val="nil"/>
              <w:bottom w:val="single" w:sz="4" w:space="0" w:color="auto"/>
              <w:right w:val="single" w:sz="4" w:space="0" w:color="auto"/>
            </w:tcBorders>
            <w:shd w:val="clear" w:color="auto" w:fill="auto"/>
            <w:noWrap/>
            <w:vAlign w:val="center"/>
          </w:tcPr>
          <w:p w14:paraId="64D7C110" w14:textId="744812F4" w:rsidR="00B60604" w:rsidRPr="00B60604" w:rsidRDefault="00B60604" w:rsidP="00B60604">
            <w:pPr>
              <w:jc w:val="center"/>
              <w:rPr>
                <w:color w:val="000000"/>
                <w:sz w:val="22"/>
                <w:highlight w:val="yellow"/>
              </w:rPr>
            </w:pPr>
            <w:r w:rsidRPr="00B60604">
              <w:rPr>
                <w:color w:val="000000"/>
                <w:sz w:val="22"/>
              </w:rPr>
              <w:t>2,000</w:t>
            </w:r>
          </w:p>
        </w:tc>
        <w:tc>
          <w:tcPr>
            <w:tcW w:w="1578" w:type="dxa"/>
            <w:tcBorders>
              <w:top w:val="nil"/>
              <w:left w:val="nil"/>
              <w:bottom w:val="single" w:sz="4" w:space="0" w:color="auto"/>
              <w:right w:val="single" w:sz="4" w:space="0" w:color="auto"/>
            </w:tcBorders>
            <w:shd w:val="clear" w:color="auto" w:fill="auto"/>
            <w:noWrap/>
            <w:vAlign w:val="center"/>
          </w:tcPr>
          <w:p w14:paraId="44167B72" w14:textId="443B6726" w:rsidR="00B60604" w:rsidRPr="00B60604" w:rsidRDefault="00B60604" w:rsidP="00B60604">
            <w:pPr>
              <w:jc w:val="center"/>
              <w:rPr>
                <w:color w:val="000000"/>
                <w:sz w:val="22"/>
                <w:highlight w:val="yellow"/>
              </w:rPr>
            </w:pPr>
            <w:r w:rsidRPr="00B60604">
              <w:rPr>
                <w:color w:val="000000"/>
                <w:sz w:val="22"/>
              </w:rPr>
              <w:t>1,700</w:t>
            </w:r>
          </w:p>
        </w:tc>
        <w:tc>
          <w:tcPr>
            <w:tcW w:w="1578" w:type="dxa"/>
            <w:tcBorders>
              <w:top w:val="nil"/>
              <w:left w:val="nil"/>
              <w:bottom w:val="single" w:sz="4" w:space="0" w:color="auto"/>
              <w:right w:val="single" w:sz="4" w:space="0" w:color="auto"/>
            </w:tcBorders>
            <w:shd w:val="clear" w:color="auto" w:fill="auto"/>
            <w:noWrap/>
            <w:vAlign w:val="center"/>
          </w:tcPr>
          <w:p w14:paraId="2D8AAF30" w14:textId="78020BCF" w:rsidR="00B60604" w:rsidRPr="00B60604" w:rsidRDefault="00B60604" w:rsidP="00B60604">
            <w:pPr>
              <w:jc w:val="center"/>
              <w:rPr>
                <w:color w:val="000000"/>
                <w:sz w:val="22"/>
                <w:highlight w:val="yellow"/>
              </w:rPr>
            </w:pPr>
            <w:r w:rsidRPr="00B60604">
              <w:rPr>
                <w:color w:val="000000"/>
                <w:sz w:val="22"/>
              </w:rPr>
              <w:t>1,000</w:t>
            </w:r>
          </w:p>
        </w:tc>
      </w:tr>
      <w:tr w:rsidR="00B60604" w:rsidRPr="0069660B" w14:paraId="78DDE748" w14:textId="77777777" w:rsidTr="00B60604">
        <w:trPr>
          <w:trHeight w:val="288"/>
        </w:trPr>
        <w:tc>
          <w:tcPr>
            <w:tcW w:w="1578" w:type="dxa"/>
            <w:tcBorders>
              <w:top w:val="nil"/>
              <w:left w:val="single" w:sz="4" w:space="0" w:color="auto"/>
              <w:bottom w:val="single" w:sz="4" w:space="0" w:color="auto"/>
              <w:right w:val="single" w:sz="4" w:space="0" w:color="auto"/>
            </w:tcBorders>
            <w:shd w:val="clear" w:color="auto" w:fill="auto"/>
            <w:noWrap/>
            <w:vAlign w:val="center"/>
          </w:tcPr>
          <w:p w14:paraId="18E9C9C5" w14:textId="05A68050" w:rsidR="00B60604" w:rsidRPr="00CD354B" w:rsidRDefault="00B60604" w:rsidP="00B60604">
            <w:pPr>
              <w:jc w:val="center"/>
              <w:rPr>
                <w:color w:val="000000"/>
                <w:sz w:val="22"/>
              </w:rPr>
            </w:pPr>
            <w:r>
              <w:rPr>
                <w:color w:val="000000"/>
                <w:sz w:val="22"/>
              </w:rPr>
              <w:t>2019</w:t>
            </w:r>
          </w:p>
        </w:tc>
        <w:tc>
          <w:tcPr>
            <w:tcW w:w="1578" w:type="dxa"/>
            <w:tcBorders>
              <w:top w:val="single" w:sz="4" w:space="0" w:color="auto"/>
              <w:left w:val="nil"/>
              <w:bottom w:val="single" w:sz="4" w:space="0" w:color="auto"/>
              <w:right w:val="single" w:sz="4" w:space="0" w:color="auto"/>
            </w:tcBorders>
            <w:vAlign w:val="center"/>
          </w:tcPr>
          <w:p w14:paraId="5BEE4AC7" w14:textId="2FD68443" w:rsidR="00B60604" w:rsidRPr="00B60604" w:rsidRDefault="00B60604" w:rsidP="00B60604">
            <w:pPr>
              <w:jc w:val="center"/>
              <w:rPr>
                <w:sz w:val="22"/>
              </w:rPr>
            </w:pPr>
            <w:r w:rsidRPr="00B60604">
              <w:rPr>
                <w:color w:val="000000"/>
                <w:sz w:val="22"/>
              </w:rPr>
              <w:t>18,539.1</w:t>
            </w:r>
          </w:p>
        </w:tc>
        <w:tc>
          <w:tcPr>
            <w:tcW w:w="1578" w:type="dxa"/>
            <w:tcBorders>
              <w:top w:val="nil"/>
              <w:left w:val="single" w:sz="4" w:space="0" w:color="auto"/>
              <w:bottom w:val="single" w:sz="4" w:space="0" w:color="auto"/>
              <w:right w:val="single" w:sz="4" w:space="0" w:color="auto"/>
            </w:tcBorders>
            <w:shd w:val="clear" w:color="auto" w:fill="auto"/>
            <w:noWrap/>
            <w:vAlign w:val="center"/>
          </w:tcPr>
          <w:p w14:paraId="5FB7A7AE" w14:textId="018BFD4A" w:rsidR="00B60604" w:rsidRPr="00B60604" w:rsidRDefault="00B60604" w:rsidP="00B60604">
            <w:pPr>
              <w:jc w:val="center"/>
              <w:rPr>
                <w:color w:val="000000"/>
                <w:sz w:val="22"/>
              </w:rPr>
            </w:pPr>
            <w:r w:rsidRPr="00B60604">
              <w:rPr>
                <w:color w:val="000000"/>
                <w:sz w:val="22"/>
              </w:rPr>
              <w:t>15,400</w:t>
            </w:r>
          </w:p>
        </w:tc>
        <w:tc>
          <w:tcPr>
            <w:tcW w:w="1578" w:type="dxa"/>
            <w:tcBorders>
              <w:top w:val="nil"/>
              <w:left w:val="nil"/>
              <w:bottom w:val="single" w:sz="4" w:space="0" w:color="auto"/>
              <w:right w:val="single" w:sz="4" w:space="0" w:color="auto"/>
            </w:tcBorders>
            <w:shd w:val="clear" w:color="auto" w:fill="auto"/>
            <w:noWrap/>
            <w:vAlign w:val="center"/>
          </w:tcPr>
          <w:p w14:paraId="23A8B3ED" w14:textId="7280A15F" w:rsidR="00B60604" w:rsidRPr="00B60604" w:rsidRDefault="00B60604" w:rsidP="00B60604">
            <w:pPr>
              <w:jc w:val="center"/>
              <w:rPr>
                <w:color w:val="000000"/>
                <w:sz w:val="22"/>
              </w:rPr>
            </w:pPr>
            <w:r w:rsidRPr="00B60604">
              <w:rPr>
                <w:color w:val="000000"/>
                <w:sz w:val="22"/>
              </w:rPr>
              <w:t>2,800</w:t>
            </w:r>
          </w:p>
        </w:tc>
        <w:tc>
          <w:tcPr>
            <w:tcW w:w="1578" w:type="dxa"/>
            <w:tcBorders>
              <w:top w:val="nil"/>
              <w:left w:val="nil"/>
              <w:bottom w:val="single" w:sz="4" w:space="0" w:color="auto"/>
              <w:right w:val="single" w:sz="4" w:space="0" w:color="auto"/>
            </w:tcBorders>
            <w:shd w:val="clear" w:color="auto" w:fill="auto"/>
            <w:noWrap/>
            <w:vAlign w:val="center"/>
          </w:tcPr>
          <w:p w14:paraId="1A0B4C4A" w14:textId="4BBBC122" w:rsidR="00B60604" w:rsidRPr="00B60604" w:rsidRDefault="00B60604" w:rsidP="00B60604">
            <w:pPr>
              <w:jc w:val="center"/>
              <w:rPr>
                <w:color w:val="000000"/>
                <w:sz w:val="22"/>
              </w:rPr>
            </w:pPr>
            <w:r w:rsidRPr="00B60604">
              <w:rPr>
                <w:color w:val="000000"/>
                <w:sz w:val="22"/>
              </w:rPr>
              <w:t>2,400</w:t>
            </w:r>
          </w:p>
        </w:tc>
        <w:tc>
          <w:tcPr>
            <w:tcW w:w="1578" w:type="dxa"/>
            <w:tcBorders>
              <w:top w:val="nil"/>
              <w:left w:val="nil"/>
              <w:bottom w:val="single" w:sz="4" w:space="0" w:color="auto"/>
              <w:right w:val="single" w:sz="4" w:space="0" w:color="auto"/>
            </w:tcBorders>
            <w:shd w:val="clear" w:color="auto" w:fill="auto"/>
            <w:noWrap/>
            <w:vAlign w:val="center"/>
          </w:tcPr>
          <w:p w14:paraId="3E7A6768" w14:textId="7CED11E2" w:rsidR="00B60604" w:rsidRPr="00B60604" w:rsidRDefault="00B60604" w:rsidP="00B60604">
            <w:pPr>
              <w:jc w:val="center"/>
              <w:rPr>
                <w:color w:val="000000"/>
                <w:sz w:val="22"/>
              </w:rPr>
            </w:pPr>
            <w:r w:rsidRPr="00B60604">
              <w:rPr>
                <w:color w:val="000000"/>
                <w:sz w:val="22"/>
              </w:rPr>
              <w:t>630</w:t>
            </w:r>
          </w:p>
        </w:tc>
      </w:tr>
      <w:tr w:rsidR="00B60604" w:rsidRPr="0069660B" w14:paraId="22E833C5" w14:textId="77777777" w:rsidTr="00B60604">
        <w:trPr>
          <w:trHeight w:val="288"/>
        </w:trPr>
        <w:tc>
          <w:tcPr>
            <w:tcW w:w="1578" w:type="dxa"/>
            <w:tcBorders>
              <w:top w:val="nil"/>
              <w:left w:val="single" w:sz="4" w:space="0" w:color="auto"/>
              <w:bottom w:val="single" w:sz="4" w:space="0" w:color="auto"/>
              <w:right w:val="single" w:sz="4" w:space="0" w:color="auto"/>
            </w:tcBorders>
            <w:shd w:val="clear" w:color="auto" w:fill="auto"/>
            <w:noWrap/>
            <w:vAlign w:val="center"/>
          </w:tcPr>
          <w:p w14:paraId="68AF7376" w14:textId="1D71F4A4" w:rsidR="00B60604" w:rsidRPr="00CD354B" w:rsidRDefault="00B60604" w:rsidP="00B60604">
            <w:pPr>
              <w:jc w:val="center"/>
              <w:rPr>
                <w:color w:val="000000"/>
                <w:sz w:val="22"/>
              </w:rPr>
            </w:pPr>
            <w:r>
              <w:rPr>
                <w:color w:val="000000"/>
                <w:sz w:val="22"/>
              </w:rPr>
              <w:t>2020</w:t>
            </w:r>
          </w:p>
        </w:tc>
        <w:tc>
          <w:tcPr>
            <w:tcW w:w="1578" w:type="dxa"/>
            <w:tcBorders>
              <w:top w:val="single" w:sz="4" w:space="0" w:color="auto"/>
              <w:left w:val="nil"/>
              <w:bottom w:val="single" w:sz="4" w:space="0" w:color="auto"/>
              <w:right w:val="single" w:sz="4" w:space="0" w:color="auto"/>
            </w:tcBorders>
            <w:vAlign w:val="center"/>
          </w:tcPr>
          <w:p w14:paraId="2DED5EC5" w14:textId="37DFC281" w:rsidR="00B60604" w:rsidRPr="00B60604" w:rsidRDefault="00B60604" w:rsidP="00B60604">
            <w:pPr>
              <w:jc w:val="center"/>
              <w:rPr>
                <w:sz w:val="22"/>
              </w:rPr>
            </w:pPr>
            <w:r>
              <w:rPr>
                <w:color w:val="000000"/>
                <w:sz w:val="22"/>
              </w:rPr>
              <w:t>0</w:t>
            </w:r>
          </w:p>
        </w:tc>
        <w:tc>
          <w:tcPr>
            <w:tcW w:w="1578" w:type="dxa"/>
            <w:tcBorders>
              <w:top w:val="nil"/>
              <w:left w:val="single" w:sz="4" w:space="0" w:color="auto"/>
              <w:bottom w:val="single" w:sz="4" w:space="0" w:color="auto"/>
              <w:right w:val="single" w:sz="4" w:space="0" w:color="auto"/>
            </w:tcBorders>
            <w:shd w:val="clear" w:color="auto" w:fill="auto"/>
            <w:noWrap/>
            <w:vAlign w:val="center"/>
          </w:tcPr>
          <w:p w14:paraId="06596A6F" w14:textId="2DD417D1" w:rsidR="00B60604" w:rsidRPr="00B60604" w:rsidRDefault="00B60604" w:rsidP="00B60604">
            <w:pPr>
              <w:jc w:val="center"/>
              <w:rPr>
                <w:color w:val="000000"/>
                <w:sz w:val="22"/>
              </w:rPr>
            </w:pPr>
            <w:r w:rsidRPr="00B60604">
              <w:rPr>
                <w:color w:val="000000"/>
                <w:sz w:val="22"/>
              </w:rPr>
              <w:t>8,500</w:t>
            </w:r>
          </w:p>
        </w:tc>
        <w:tc>
          <w:tcPr>
            <w:tcW w:w="1578" w:type="dxa"/>
            <w:tcBorders>
              <w:top w:val="nil"/>
              <w:left w:val="nil"/>
              <w:bottom w:val="single" w:sz="4" w:space="0" w:color="auto"/>
              <w:right w:val="single" w:sz="4" w:space="0" w:color="auto"/>
            </w:tcBorders>
            <w:shd w:val="clear" w:color="auto" w:fill="auto"/>
            <w:noWrap/>
            <w:vAlign w:val="center"/>
          </w:tcPr>
          <w:p w14:paraId="2F54E703" w14:textId="3CA28B90" w:rsidR="00B60604" w:rsidRPr="00B60604" w:rsidRDefault="00B60604" w:rsidP="00B60604">
            <w:pPr>
              <w:jc w:val="center"/>
              <w:rPr>
                <w:color w:val="000000"/>
                <w:sz w:val="22"/>
              </w:rPr>
            </w:pPr>
            <w:r w:rsidRPr="00B60604">
              <w:rPr>
                <w:color w:val="000000"/>
                <w:sz w:val="22"/>
              </w:rPr>
              <w:t>4,000</w:t>
            </w:r>
          </w:p>
        </w:tc>
        <w:tc>
          <w:tcPr>
            <w:tcW w:w="1578" w:type="dxa"/>
            <w:tcBorders>
              <w:top w:val="nil"/>
              <w:left w:val="nil"/>
              <w:bottom w:val="single" w:sz="4" w:space="0" w:color="auto"/>
              <w:right w:val="single" w:sz="4" w:space="0" w:color="auto"/>
            </w:tcBorders>
            <w:shd w:val="clear" w:color="auto" w:fill="auto"/>
            <w:noWrap/>
            <w:vAlign w:val="center"/>
          </w:tcPr>
          <w:p w14:paraId="672F2AE4" w14:textId="42D0D699" w:rsidR="00B60604" w:rsidRPr="00B60604" w:rsidRDefault="00B60604" w:rsidP="00B60604">
            <w:pPr>
              <w:jc w:val="center"/>
              <w:rPr>
                <w:color w:val="000000"/>
                <w:sz w:val="22"/>
              </w:rPr>
            </w:pPr>
            <w:r w:rsidRPr="00B60604">
              <w:rPr>
                <w:color w:val="000000"/>
                <w:sz w:val="22"/>
              </w:rPr>
              <w:t>3,500</w:t>
            </w:r>
          </w:p>
        </w:tc>
        <w:tc>
          <w:tcPr>
            <w:tcW w:w="1578" w:type="dxa"/>
            <w:tcBorders>
              <w:top w:val="nil"/>
              <w:left w:val="nil"/>
              <w:bottom w:val="single" w:sz="4" w:space="0" w:color="auto"/>
              <w:right w:val="single" w:sz="4" w:space="0" w:color="auto"/>
            </w:tcBorders>
            <w:shd w:val="clear" w:color="auto" w:fill="auto"/>
            <w:noWrap/>
            <w:vAlign w:val="center"/>
          </w:tcPr>
          <w:p w14:paraId="178D4DA3" w14:textId="60C589C4" w:rsidR="00B60604" w:rsidRPr="00B60604" w:rsidRDefault="00B60604" w:rsidP="00B60604">
            <w:pPr>
              <w:jc w:val="center"/>
              <w:rPr>
                <w:color w:val="000000"/>
                <w:sz w:val="22"/>
              </w:rPr>
            </w:pPr>
            <w:r w:rsidRPr="00B60604">
              <w:rPr>
                <w:color w:val="000000"/>
                <w:sz w:val="22"/>
              </w:rPr>
              <w:t>1,600</w:t>
            </w:r>
          </w:p>
        </w:tc>
      </w:tr>
      <w:tr w:rsidR="00B60604" w:rsidRPr="0069660B" w14:paraId="00D27483" w14:textId="77777777" w:rsidTr="00B60604">
        <w:trPr>
          <w:trHeight w:val="288"/>
        </w:trPr>
        <w:tc>
          <w:tcPr>
            <w:tcW w:w="1578"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14:paraId="3975D679" w14:textId="77777777" w:rsidR="00B60604" w:rsidRPr="00CD354B" w:rsidRDefault="00B60604" w:rsidP="00B60604">
            <w:pPr>
              <w:jc w:val="center"/>
              <w:rPr>
                <w:b/>
                <w:bCs/>
                <w:color w:val="000000"/>
                <w:sz w:val="22"/>
              </w:rPr>
            </w:pPr>
            <w:r w:rsidRPr="00CD354B">
              <w:rPr>
                <w:b/>
                <w:bCs/>
                <w:color w:val="000000"/>
                <w:sz w:val="22"/>
              </w:rPr>
              <w:t>Total</w:t>
            </w:r>
          </w:p>
        </w:tc>
        <w:tc>
          <w:tcPr>
            <w:tcW w:w="1578" w:type="dxa"/>
            <w:tcBorders>
              <w:top w:val="single" w:sz="4" w:space="0" w:color="auto"/>
              <w:left w:val="nil"/>
              <w:bottom w:val="single" w:sz="4" w:space="0" w:color="auto"/>
              <w:right w:val="single" w:sz="4" w:space="0" w:color="auto"/>
            </w:tcBorders>
            <w:shd w:val="clear" w:color="auto" w:fill="BFBFBF" w:themeFill="background1" w:themeFillShade="BF"/>
            <w:vAlign w:val="center"/>
          </w:tcPr>
          <w:p w14:paraId="54ED89D4" w14:textId="78A0EDA1" w:rsidR="00B60604" w:rsidRPr="00B60604" w:rsidRDefault="00B60604" w:rsidP="00B60604">
            <w:pPr>
              <w:jc w:val="center"/>
              <w:rPr>
                <w:b/>
                <w:bCs/>
                <w:color w:val="000000"/>
                <w:sz w:val="22"/>
              </w:rPr>
            </w:pPr>
            <w:r w:rsidRPr="00B60604">
              <w:rPr>
                <w:b/>
                <w:bCs/>
                <w:color w:val="000000"/>
                <w:sz w:val="22"/>
              </w:rPr>
              <w:t>62,643.9</w:t>
            </w:r>
          </w:p>
        </w:tc>
        <w:tc>
          <w:tcPr>
            <w:tcW w:w="1578" w:type="dxa"/>
            <w:tcBorders>
              <w:top w:val="nil"/>
              <w:left w:val="single" w:sz="4" w:space="0" w:color="auto"/>
              <w:bottom w:val="single" w:sz="4" w:space="0" w:color="auto"/>
              <w:right w:val="single" w:sz="4" w:space="0" w:color="auto"/>
            </w:tcBorders>
            <w:shd w:val="clear" w:color="auto" w:fill="BFBFBF" w:themeFill="background1" w:themeFillShade="BF"/>
            <w:noWrap/>
            <w:vAlign w:val="center"/>
          </w:tcPr>
          <w:p w14:paraId="78B1BBE4" w14:textId="47F30854" w:rsidR="00B60604" w:rsidRPr="00B60604" w:rsidRDefault="00B60604" w:rsidP="00B60604">
            <w:pPr>
              <w:jc w:val="center"/>
              <w:rPr>
                <w:b/>
                <w:bCs/>
                <w:color w:val="000000"/>
                <w:sz w:val="22"/>
              </w:rPr>
            </w:pPr>
            <w:r w:rsidRPr="00B60604">
              <w:rPr>
                <w:b/>
                <w:bCs/>
                <w:color w:val="000000"/>
                <w:sz w:val="22"/>
              </w:rPr>
              <w:t>48,600</w:t>
            </w:r>
          </w:p>
        </w:tc>
        <w:tc>
          <w:tcPr>
            <w:tcW w:w="1578" w:type="dxa"/>
            <w:tcBorders>
              <w:top w:val="nil"/>
              <w:left w:val="nil"/>
              <w:bottom w:val="single" w:sz="4" w:space="0" w:color="auto"/>
              <w:right w:val="single" w:sz="4" w:space="0" w:color="auto"/>
            </w:tcBorders>
            <w:shd w:val="clear" w:color="auto" w:fill="BFBFBF" w:themeFill="background1" w:themeFillShade="BF"/>
            <w:noWrap/>
            <w:vAlign w:val="center"/>
          </w:tcPr>
          <w:p w14:paraId="55821529" w14:textId="1E357B46" w:rsidR="00B60604" w:rsidRPr="00B60604" w:rsidRDefault="00B60604" w:rsidP="00B60604">
            <w:pPr>
              <w:jc w:val="center"/>
              <w:rPr>
                <w:b/>
                <w:bCs/>
                <w:color w:val="000000"/>
                <w:sz w:val="22"/>
              </w:rPr>
            </w:pPr>
            <w:r w:rsidRPr="00B60604">
              <w:rPr>
                <w:b/>
                <w:bCs/>
                <w:color w:val="000000"/>
                <w:sz w:val="22"/>
              </w:rPr>
              <w:t>10,900</w:t>
            </w:r>
          </w:p>
        </w:tc>
        <w:tc>
          <w:tcPr>
            <w:tcW w:w="1578" w:type="dxa"/>
            <w:tcBorders>
              <w:top w:val="nil"/>
              <w:left w:val="nil"/>
              <w:bottom w:val="single" w:sz="4" w:space="0" w:color="auto"/>
              <w:right w:val="single" w:sz="4" w:space="0" w:color="auto"/>
            </w:tcBorders>
            <w:shd w:val="clear" w:color="auto" w:fill="BFBFBF" w:themeFill="background1" w:themeFillShade="BF"/>
            <w:noWrap/>
            <w:vAlign w:val="center"/>
          </w:tcPr>
          <w:p w14:paraId="7A729F22" w14:textId="5F5458C0" w:rsidR="00B60604" w:rsidRPr="00B60604" w:rsidRDefault="00B60604" w:rsidP="00B60604">
            <w:pPr>
              <w:jc w:val="center"/>
              <w:rPr>
                <w:b/>
                <w:bCs/>
                <w:color w:val="000000"/>
                <w:sz w:val="22"/>
              </w:rPr>
            </w:pPr>
            <w:r w:rsidRPr="00B60604">
              <w:rPr>
                <w:b/>
                <w:bCs/>
                <w:color w:val="000000"/>
                <w:sz w:val="22"/>
              </w:rPr>
              <w:t>9,500</w:t>
            </w:r>
          </w:p>
        </w:tc>
        <w:tc>
          <w:tcPr>
            <w:tcW w:w="1578" w:type="dxa"/>
            <w:tcBorders>
              <w:top w:val="nil"/>
              <w:left w:val="nil"/>
              <w:bottom w:val="single" w:sz="4" w:space="0" w:color="auto"/>
              <w:right w:val="single" w:sz="4" w:space="0" w:color="auto"/>
            </w:tcBorders>
            <w:shd w:val="clear" w:color="auto" w:fill="BFBFBF" w:themeFill="background1" w:themeFillShade="BF"/>
            <w:noWrap/>
            <w:vAlign w:val="center"/>
          </w:tcPr>
          <w:p w14:paraId="1A4FC202" w14:textId="6E6EDD9E" w:rsidR="00B60604" w:rsidRPr="00B60604" w:rsidRDefault="00B60604" w:rsidP="00B60604">
            <w:pPr>
              <w:jc w:val="center"/>
              <w:rPr>
                <w:b/>
                <w:bCs/>
                <w:color w:val="000000"/>
                <w:sz w:val="22"/>
              </w:rPr>
            </w:pPr>
            <w:r w:rsidRPr="00B60604">
              <w:rPr>
                <w:b/>
                <w:bCs/>
                <w:color w:val="000000"/>
                <w:sz w:val="22"/>
              </w:rPr>
              <w:t>4,000</w:t>
            </w:r>
          </w:p>
        </w:tc>
      </w:tr>
      <w:tr w:rsidR="00B60604" w:rsidRPr="0069660B" w14:paraId="29AACD82" w14:textId="77777777" w:rsidTr="00B60604">
        <w:trPr>
          <w:trHeight w:val="288"/>
        </w:trPr>
        <w:tc>
          <w:tcPr>
            <w:tcW w:w="1578"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14:paraId="24CC7865" w14:textId="77777777" w:rsidR="00B60604" w:rsidRPr="00CD354B" w:rsidRDefault="00B60604" w:rsidP="00B60604">
            <w:pPr>
              <w:jc w:val="center"/>
              <w:rPr>
                <w:b/>
                <w:bCs/>
                <w:color w:val="000000"/>
                <w:sz w:val="22"/>
              </w:rPr>
            </w:pPr>
            <w:r w:rsidRPr="00CD354B">
              <w:rPr>
                <w:b/>
                <w:bCs/>
                <w:color w:val="000000"/>
                <w:sz w:val="22"/>
              </w:rPr>
              <w:t>Average</w:t>
            </w:r>
          </w:p>
        </w:tc>
        <w:tc>
          <w:tcPr>
            <w:tcW w:w="1578" w:type="dxa"/>
            <w:tcBorders>
              <w:top w:val="single" w:sz="4" w:space="0" w:color="auto"/>
              <w:left w:val="nil"/>
              <w:bottom w:val="single" w:sz="4" w:space="0" w:color="auto"/>
              <w:right w:val="single" w:sz="4" w:space="0" w:color="auto"/>
            </w:tcBorders>
            <w:shd w:val="clear" w:color="auto" w:fill="BFBFBF" w:themeFill="background1" w:themeFillShade="BF"/>
            <w:vAlign w:val="center"/>
          </w:tcPr>
          <w:p w14:paraId="6011BC7C" w14:textId="5213347E" w:rsidR="00B60604" w:rsidRPr="00B60604" w:rsidRDefault="00B60604" w:rsidP="00B60604">
            <w:pPr>
              <w:jc w:val="center"/>
              <w:rPr>
                <w:b/>
                <w:bCs/>
                <w:color w:val="000000"/>
                <w:sz w:val="22"/>
              </w:rPr>
            </w:pPr>
            <w:r w:rsidRPr="00B60604">
              <w:rPr>
                <w:b/>
                <w:bCs/>
                <w:color w:val="000000"/>
                <w:sz w:val="22"/>
              </w:rPr>
              <w:t>10,440.7</w:t>
            </w:r>
          </w:p>
        </w:tc>
        <w:tc>
          <w:tcPr>
            <w:tcW w:w="1578" w:type="dxa"/>
            <w:tcBorders>
              <w:top w:val="nil"/>
              <w:left w:val="single" w:sz="4" w:space="0" w:color="auto"/>
              <w:bottom w:val="single" w:sz="4" w:space="0" w:color="auto"/>
              <w:right w:val="single" w:sz="4" w:space="0" w:color="auto"/>
            </w:tcBorders>
            <w:shd w:val="clear" w:color="auto" w:fill="BFBFBF" w:themeFill="background1" w:themeFillShade="BF"/>
            <w:noWrap/>
            <w:vAlign w:val="center"/>
          </w:tcPr>
          <w:p w14:paraId="53337403" w14:textId="590EB27D" w:rsidR="00B60604" w:rsidRPr="00B60604" w:rsidRDefault="00B60604" w:rsidP="00B60604">
            <w:pPr>
              <w:jc w:val="center"/>
              <w:rPr>
                <w:b/>
                <w:bCs/>
                <w:color w:val="000000"/>
                <w:sz w:val="22"/>
              </w:rPr>
            </w:pPr>
            <w:r w:rsidRPr="00B60604">
              <w:rPr>
                <w:b/>
                <w:bCs/>
                <w:color w:val="000000"/>
                <w:sz w:val="22"/>
              </w:rPr>
              <w:t>8,100</w:t>
            </w:r>
          </w:p>
        </w:tc>
        <w:tc>
          <w:tcPr>
            <w:tcW w:w="1578" w:type="dxa"/>
            <w:tcBorders>
              <w:top w:val="nil"/>
              <w:left w:val="nil"/>
              <w:bottom w:val="single" w:sz="4" w:space="0" w:color="auto"/>
              <w:right w:val="single" w:sz="4" w:space="0" w:color="auto"/>
            </w:tcBorders>
            <w:shd w:val="clear" w:color="auto" w:fill="BFBFBF" w:themeFill="background1" w:themeFillShade="BF"/>
            <w:noWrap/>
            <w:vAlign w:val="center"/>
          </w:tcPr>
          <w:p w14:paraId="77F67AB4" w14:textId="3B98554A" w:rsidR="00B60604" w:rsidRPr="00B60604" w:rsidRDefault="00B60604" w:rsidP="00B60604">
            <w:pPr>
              <w:jc w:val="center"/>
              <w:rPr>
                <w:b/>
                <w:bCs/>
                <w:color w:val="000000"/>
                <w:sz w:val="22"/>
              </w:rPr>
            </w:pPr>
            <w:r w:rsidRPr="00B60604">
              <w:rPr>
                <w:b/>
                <w:bCs/>
                <w:color w:val="000000"/>
                <w:sz w:val="22"/>
              </w:rPr>
              <w:t>1,800</w:t>
            </w:r>
          </w:p>
        </w:tc>
        <w:tc>
          <w:tcPr>
            <w:tcW w:w="1578" w:type="dxa"/>
            <w:tcBorders>
              <w:top w:val="nil"/>
              <w:left w:val="nil"/>
              <w:bottom w:val="single" w:sz="4" w:space="0" w:color="auto"/>
              <w:right w:val="single" w:sz="4" w:space="0" w:color="auto"/>
            </w:tcBorders>
            <w:shd w:val="clear" w:color="auto" w:fill="BFBFBF" w:themeFill="background1" w:themeFillShade="BF"/>
            <w:noWrap/>
            <w:vAlign w:val="center"/>
          </w:tcPr>
          <w:p w14:paraId="45CE4B38" w14:textId="2DED4B56" w:rsidR="00B60604" w:rsidRPr="00B60604" w:rsidRDefault="00B60604" w:rsidP="00B60604">
            <w:pPr>
              <w:jc w:val="center"/>
              <w:rPr>
                <w:b/>
                <w:bCs/>
                <w:color w:val="000000"/>
                <w:sz w:val="22"/>
              </w:rPr>
            </w:pPr>
            <w:r w:rsidRPr="00B60604">
              <w:rPr>
                <w:b/>
                <w:bCs/>
                <w:color w:val="000000"/>
                <w:sz w:val="22"/>
              </w:rPr>
              <w:t>1,600</w:t>
            </w:r>
          </w:p>
        </w:tc>
        <w:tc>
          <w:tcPr>
            <w:tcW w:w="1578" w:type="dxa"/>
            <w:tcBorders>
              <w:top w:val="nil"/>
              <w:left w:val="nil"/>
              <w:bottom w:val="single" w:sz="4" w:space="0" w:color="auto"/>
              <w:right w:val="single" w:sz="4" w:space="0" w:color="auto"/>
            </w:tcBorders>
            <w:shd w:val="clear" w:color="auto" w:fill="BFBFBF" w:themeFill="background1" w:themeFillShade="BF"/>
            <w:noWrap/>
            <w:vAlign w:val="center"/>
          </w:tcPr>
          <w:p w14:paraId="162878B1" w14:textId="77AB3FE1" w:rsidR="00B60604" w:rsidRPr="00B60604" w:rsidRDefault="00B60604" w:rsidP="00B60604">
            <w:pPr>
              <w:jc w:val="center"/>
              <w:rPr>
                <w:b/>
                <w:bCs/>
                <w:color w:val="000000"/>
                <w:sz w:val="22"/>
              </w:rPr>
            </w:pPr>
            <w:r w:rsidRPr="00B60604">
              <w:rPr>
                <w:b/>
                <w:bCs/>
                <w:color w:val="000000"/>
                <w:sz w:val="22"/>
              </w:rPr>
              <w:t>670</w:t>
            </w:r>
          </w:p>
        </w:tc>
      </w:tr>
    </w:tbl>
    <w:p w14:paraId="1A78CB53" w14:textId="77777777" w:rsidR="0084299F" w:rsidRDefault="0084299F" w:rsidP="004446AA">
      <w:pPr>
        <w:rPr>
          <w:szCs w:val="24"/>
        </w:rPr>
      </w:pPr>
    </w:p>
    <w:p w14:paraId="2EA78837" w14:textId="0E56293D" w:rsidR="001907E3" w:rsidRDefault="001907E3" w:rsidP="004446AA">
      <w:pPr>
        <w:rPr>
          <w:szCs w:val="24"/>
        </w:rPr>
      </w:pPr>
      <w:r>
        <w:rPr>
          <w:szCs w:val="24"/>
        </w:rPr>
        <w:t xml:space="preserve">The </w:t>
      </w:r>
      <w:r w:rsidR="00F06F6C">
        <w:rPr>
          <w:szCs w:val="24"/>
        </w:rPr>
        <w:t xml:space="preserve">overall </w:t>
      </w:r>
      <w:r w:rsidR="00077D80">
        <w:rPr>
          <w:szCs w:val="24"/>
        </w:rPr>
        <w:t>operatio</w:t>
      </w:r>
      <w:r w:rsidR="00F06F6C">
        <w:rPr>
          <w:szCs w:val="24"/>
        </w:rPr>
        <w:t>n</w:t>
      </w:r>
      <w:r w:rsidR="00077D80">
        <w:rPr>
          <w:szCs w:val="24"/>
        </w:rPr>
        <w:t xml:space="preserve"> of the Elwood recharge project between May 2015 and </w:t>
      </w:r>
      <w:r w:rsidR="00162AEF">
        <w:rPr>
          <w:szCs w:val="24"/>
        </w:rPr>
        <w:t>the end of</w:t>
      </w:r>
      <w:r w:rsidR="00077D80">
        <w:rPr>
          <w:szCs w:val="24"/>
        </w:rPr>
        <w:t xml:space="preserve"> 2020 can be summarized as follows</w:t>
      </w:r>
      <w:r w:rsidR="00162AEF">
        <w:rPr>
          <w:szCs w:val="24"/>
        </w:rPr>
        <w:t xml:space="preserve"> (all values </w:t>
      </w:r>
      <w:r w:rsidR="00D86A17">
        <w:rPr>
          <w:szCs w:val="24"/>
        </w:rPr>
        <w:t xml:space="preserve">as </w:t>
      </w:r>
      <w:r w:rsidR="00162AEF">
        <w:rPr>
          <w:szCs w:val="24"/>
        </w:rPr>
        <w:t>measured or estimated through 12/31/2020)</w:t>
      </w:r>
      <w:r w:rsidR="00077D80">
        <w:rPr>
          <w:szCs w:val="24"/>
        </w:rPr>
        <w:t>:</w:t>
      </w:r>
    </w:p>
    <w:p w14:paraId="0C01D08E" w14:textId="2FC5FDD4" w:rsidR="00077D80" w:rsidRDefault="00077D80" w:rsidP="004446AA">
      <w:pPr>
        <w:rPr>
          <w:szCs w:val="24"/>
        </w:rPr>
      </w:pPr>
    </w:p>
    <w:p w14:paraId="59A780CF" w14:textId="02B5261D" w:rsidR="00077D80" w:rsidRDefault="00077D80" w:rsidP="00077D80">
      <w:pPr>
        <w:pStyle w:val="ListParagraph"/>
        <w:numPr>
          <w:ilvl w:val="0"/>
          <w:numId w:val="16"/>
        </w:numPr>
        <w:rPr>
          <w:szCs w:val="24"/>
        </w:rPr>
      </w:pPr>
      <w:r>
        <w:rPr>
          <w:szCs w:val="24"/>
        </w:rPr>
        <w:t>Volume pumped into reservoir for Program recharge = 62,</w:t>
      </w:r>
      <w:r w:rsidR="009247EE">
        <w:rPr>
          <w:szCs w:val="24"/>
        </w:rPr>
        <w:t>644</w:t>
      </w:r>
      <w:r w:rsidR="009247EE">
        <w:rPr>
          <w:szCs w:val="24"/>
        </w:rPr>
        <w:t xml:space="preserve"> </w:t>
      </w:r>
      <w:r>
        <w:rPr>
          <w:szCs w:val="24"/>
        </w:rPr>
        <w:t>AF</w:t>
      </w:r>
    </w:p>
    <w:p w14:paraId="12205CE1" w14:textId="2007A7F7" w:rsidR="00162AEF" w:rsidRDefault="00162AEF" w:rsidP="00077D80">
      <w:pPr>
        <w:pStyle w:val="ListParagraph"/>
        <w:numPr>
          <w:ilvl w:val="0"/>
          <w:numId w:val="16"/>
        </w:numPr>
        <w:rPr>
          <w:szCs w:val="24"/>
        </w:rPr>
      </w:pPr>
      <w:r>
        <w:rPr>
          <w:szCs w:val="24"/>
        </w:rPr>
        <w:t>Volume lost to evaporation = 5,200 AF</w:t>
      </w:r>
    </w:p>
    <w:p w14:paraId="5AA0E0F6" w14:textId="77D37657" w:rsidR="006B6699" w:rsidRDefault="006B6699" w:rsidP="00077D80">
      <w:pPr>
        <w:pStyle w:val="ListParagraph"/>
        <w:numPr>
          <w:ilvl w:val="0"/>
          <w:numId w:val="16"/>
        </w:numPr>
        <w:rPr>
          <w:szCs w:val="24"/>
        </w:rPr>
      </w:pPr>
      <w:r>
        <w:rPr>
          <w:szCs w:val="24"/>
        </w:rPr>
        <w:t xml:space="preserve">Volume </w:t>
      </w:r>
      <w:r w:rsidR="00162AEF">
        <w:rPr>
          <w:szCs w:val="24"/>
        </w:rPr>
        <w:t>of reservoir seepage/</w:t>
      </w:r>
      <w:r>
        <w:rPr>
          <w:szCs w:val="24"/>
        </w:rPr>
        <w:t>recharge = 48,6</w:t>
      </w:r>
      <w:r w:rsidR="00162AEF">
        <w:rPr>
          <w:szCs w:val="24"/>
        </w:rPr>
        <w:t>00</w:t>
      </w:r>
      <w:r>
        <w:rPr>
          <w:szCs w:val="24"/>
        </w:rPr>
        <w:t xml:space="preserve"> AF</w:t>
      </w:r>
    </w:p>
    <w:p w14:paraId="675EE5C7" w14:textId="21718379" w:rsidR="006B6699" w:rsidRDefault="006B6699" w:rsidP="00077D80">
      <w:pPr>
        <w:pStyle w:val="ListParagraph"/>
        <w:numPr>
          <w:ilvl w:val="0"/>
          <w:numId w:val="16"/>
        </w:numPr>
        <w:rPr>
          <w:szCs w:val="24"/>
        </w:rPr>
      </w:pPr>
      <w:r>
        <w:rPr>
          <w:szCs w:val="24"/>
        </w:rPr>
        <w:t>Volume remaining in the reservoir = 8,</w:t>
      </w:r>
      <w:r w:rsidR="00162AEF">
        <w:rPr>
          <w:szCs w:val="24"/>
        </w:rPr>
        <w:t>900</w:t>
      </w:r>
      <w:r>
        <w:rPr>
          <w:szCs w:val="24"/>
        </w:rPr>
        <w:t xml:space="preserve"> AF</w:t>
      </w:r>
    </w:p>
    <w:p w14:paraId="30E1A1AB" w14:textId="0B7FE83E" w:rsidR="006B6699" w:rsidRDefault="006B6699" w:rsidP="006B6699">
      <w:pPr>
        <w:pStyle w:val="ListParagraph"/>
        <w:numPr>
          <w:ilvl w:val="0"/>
          <w:numId w:val="16"/>
        </w:numPr>
        <w:rPr>
          <w:szCs w:val="24"/>
        </w:rPr>
      </w:pPr>
      <w:r>
        <w:rPr>
          <w:szCs w:val="24"/>
        </w:rPr>
        <w:t>Total river returns above Overton = 10,900 AF</w:t>
      </w:r>
    </w:p>
    <w:p w14:paraId="44FD47B9" w14:textId="568E89E6" w:rsidR="006B6699" w:rsidRDefault="006B6699" w:rsidP="006B6699">
      <w:pPr>
        <w:pStyle w:val="ListParagraph"/>
        <w:numPr>
          <w:ilvl w:val="1"/>
          <w:numId w:val="16"/>
        </w:numPr>
        <w:rPr>
          <w:szCs w:val="24"/>
        </w:rPr>
      </w:pPr>
      <w:r>
        <w:rPr>
          <w:szCs w:val="24"/>
        </w:rPr>
        <w:t>Average accretions to the river = 2.9 cfs</w:t>
      </w:r>
    </w:p>
    <w:p w14:paraId="354D30EB" w14:textId="1699E11D" w:rsidR="006B6699" w:rsidRDefault="006B6699" w:rsidP="006B6699">
      <w:pPr>
        <w:pStyle w:val="ListParagraph"/>
        <w:numPr>
          <w:ilvl w:val="0"/>
          <w:numId w:val="16"/>
        </w:numPr>
        <w:rPr>
          <w:szCs w:val="24"/>
        </w:rPr>
      </w:pPr>
      <w:r>
        <w:rPr>
          <w:szCs w:val="24"/>
        </w:rPr>
        <w:t>Total return flows at Grand Island = 9,500 AF</w:t>
      </w:r>
    </w:p>
    <w:p w14:paraId="04EC1716" w14:textId="02CF0C47" w:rsidR="006B6699" w:rsidRDefault="006B6699" w:rsidP="006B6699">
      <w:pPr>
        <w:pStyle w:val="ListParagraph"/>
        <w:numPr>
          <w:ilvl w:val="1"/>
          <w:numId w:val="16"/>
        </w:numPr>
        <w:rPr>
          <w:szCs w:val="24"/>
        </w:rPr>
      </w:pPr>
      <w:r>
        <w:rPr>
          <w:szCs w:val="24"/>
        </w:rPr>
        <w:t>Average accretions at Grand Island = 2.5 cfs</w:t>
      </w:r>
    </w:p>
    <w:p w14:paraId="5C16BCA2" w14:textId="3F6A1819" w:rsidR="006B6699" w:rsidRDefault="006B6699" w:rsidP="006B6699">
      <w:pPr>
        <w:pStyle w:val="ListParagraph"/>
        <w:numPr>
          <w:ilvl w:val="0"/>
          <w:numId w:val="16"/>
        </w:numPr>
        <w:rPr>
          <w:szCs w:val="24"/>
        </w:rPr>
      </w:pPr>
      <w:r>
        <w:rPr>
          <w:szCs w:val="24"/>
        </w:rPr>
        <w:t xml:space="preserve">Total reductions to target flow deficits at Grand Island = 4,000 AF </w:t>
      </w:r>
    </w:p>
    <w:p w14:paraId="22F8C6D6" w14:textId="77777777" w:rsidR="00F5623A" w:rsidRDefault="00F5623A" w:rsidP="00F5623A">
      <w:pPr>
        <w:pStyle w:val="ListParagraph"/>
        <w:numPr>
          <w:ilvl w:val="0"/>
          <w:numId w:val="16"/>
        </w:numPr>
        <w:rPr>
          <w:szCs w:val="24"/>
        </w:rPr>
      </w:pPr>
      <w:r>
        <w:rPr>
          <w:szCs w:val="24"/>
        </w:rPr>
        <w:t>Deficit reductions equal</w:t>
      </w:r>
    </w:p>
    <w:p w14:paraId="3CF0B76A" w14:textId="6CA25E28" w:rsidR="00F5623A" w:rsidRDefault="00F5623A" w:rsidP="00F5623A">
      <w:pPr>
        <w:pStyle w:val="ListParagraph"/>
        <w:numPr>
          <w:ilvl w:val="1"/>
          <w:numId w:val="16"/>
        </w:numPr>
        <w:rPr>
          <w:szCs w:val="24"/>
        </w:rPr>
      </w:pPr>
      <w:r>
        <w:rPr>
          <w:szCs w:val="24"/>
        </w:rPr>
        <w:t>43% of return flows at Grand Island</w:t>
      </w:r>
    </w:p>
    <w:p w14:paraId="79B935C5" w14:textId="06FA5E2B" w:rsidR="00F5623A" w:rsidRDefault="00F5623A" w:rsidP="00F5623A">
      <w:pPr>
        <w:pStyle w:val="ListParagraph"/>
        <w:numPr>
          <w:ilvl w:val="1"/>
          <w:numId w:val="16"/>
        </w:numPr>
        <w:rPr>
          <w:szCs w:val="24"/>
        </w:rPr>
      </w:pPr>
      <w:r>
        <w:rPr>
          <w:szCs w:val="24"/>
        </w:rPr>
        <w:t>37% of total river returns above Overton</w:t>
      </w:r>
    </w:p>
    <w:p w14:paraId="642B3C2A" w14:textId="7DD069D5" w:rsidR="00F5623A" w:rsidRDefault="00F5623A" w:rsidP="00F5623A">
      <w:pPr>
        <w:pStyle w:val="ListParagraph"/>
        <w:numPr>
          <w:ilvl w:val="1"/>
          <w:numId w:val="16"/>
        </w:numPr>
        <w:rPr>
          <w:szCs w:val="24"/>
        </w:rPr>
      </w:pPr>
      <w:r>
        <w:rPr>
          <w:szCs w:val="24"/>
        </w:rPr>
        <w:t>8% of total recharge from Elwood</w:t>
      </w:r>
    </w:p>
    <w:p w14:paraId="3F79063E" w14:textId="564C38B2" w:rsidR="00F5623A" w:rsidRPr="00F5623A" w:rsidRDefault="00F5623A" w:rsidP="00F5623A">
      <w:pPr>
        <w:pStyle w:val="ListParagraph"/>
        <w:numPr>
          <w:ilvl w:val="1"/>
          <w:numId w:val="16"/>
        </w:numPr>
        <w:rPr>
          <w:szCs w:val="24"/>
        </w:rPr>
      </w:pPr>
      <w:r>
        <w:rPr>
          <w:szCs w:val="24"/>
        </w:rPr>
        <w:t>6% of the total volume pumped into Elwood</w:t>
      </w:r>
    </w:p>
    <w:p w14:paraId="072B5650" w14:textId="4E97A9EE" w:rsidR="001907E3" w:rsidRDefault="001907E3" w:rsidP="004446AA">
      <w:pPr>
        <w:rPr>
          <w:szCs w:val="24"/>
        </w:rPr>
      </w:pPr>
    </w:p>
    <w:p w14:paraId="39681330" w14:textId="3E73FD03" w:rsidR="00B41F4A" w:rsidRDefault="00162AEF" w:rsidP="004446AA">
      <w:pPr>
        <w:rPr>
          <w:szCs w:val="24"/>
        </w:rPr>
      </w:pPr>
      <w:r>
        <w:rPr>
          <w:szCs w:val="24"/>
        </w:rPr>
        <w:t>The volume remaining in groundwater storage and potentially available for recapture operations was about 37,700 AF (the difference between the volume recharged and the total river returns), minus future accretions to the Platte River/Plum Creek and any volume that may migrate into the Republican River basin.</w:t>
      </w:r>
    </w:p>
    <w:p w14:paraId="23B6C239" w14:textId="77777777" w:rsidR="00B41F4A" w:rsidRDefault="00B41F4A" w:rsidP="00B41F4A">
      <w:pPr>
        <w:pStyle w:val="ListParagraph"/>
        <w:numPr>
          <w:ilvl w:val="0"/>
          <w:numId w:val="4"/>
        </w:numPr>
        <w:spacing w:before="240" w:after="240"/>
        <w:rPr>
          <w:b/>
        </w:rPr>
      </w:pPr>
      <w:r>
        <w:rPr>
          <w:b/>
        </w:rPr>
        <w:t>Cottonwood Ranch Broad-Scale Recharge</w:t>
      </w:r>
    </w:p>
    <w:p w14:paraId="3545C452" w14:textId="77777777" w:rsidR="00B41F4A" w:rsidRDefault="00B41F4A" w:rsidP="00B41F4A">
      <w:pPr>
        <w:rPr>
          <w:szCs w:val="24"/>
        </w:rPr>
      </w:pPr>
      <w:r>
        <w:rPr>
          <w:szCs w:val="24"/>
        </w:rPr>
        <w:t>Construction of the Cottonwood Ranch broad-scale recharge project was completed in 2019.  Water for the project is routed through CNPPID’s Tri-County Supply Canal system into the Phelps County Canal and then into a pipeline that can deliver water to two locations north and south of the Peterson Drain on the west side of the project.</w:t>
      </w:r>
    </w:p>
    <w:p w14:paraId="50895FCB" w14:textId="77777777" w:rsidR="00B41F4A" w:rsidRDefault="00B41F4A" w:rsidP="00B41F4A">
      <w:pPr>
        <w:rPr>
          <w:szCs w:val="24"/>
        </w:rPr>
      </w:pPr>
    </w:p>
    <w:p w14:paraId="412CDF10" w14:textId="77777777" w:rsidR="00B41F4A" w:rsidRDefault="00B41F4A" w:rsidP="00B41F4A">
      <w:pPr>
        <w:rPr>
          <w:szCs w:val="24"/>
        </w:rPr>
      </w:pPr>
      <w:r>
        <w:rPr>
          <w:szCs w:val="24"/>
        </w:rPr>
        <w:lastRenderedPageBreak/>
        <w:t xml:space="preserve">Test fill operations were conducted in 2020 using water released from the Lake McConaughy EA.  A total of 360.6 AF was delivered during three separate fill periods in July (152.3 AF), August (110.2 AF), and September (98.1 AF).  Regular project operations involving diversions of excess flows have not been possible since the test fills were completed, and accounting procedures for the broad-scale recharge project are still being developed. </w:t>
      </w:r>
    </w:p>
    <w:p w14:paraId="1C0C3088" w14:textId="77777777" w:rsidR="00494FEF" w:rsidRDefault="00494FEF" w:rsidP="00B9798C">
      <w:pPr>
        <w:pStyle w:val="ListParagraph"/>
        <w:numPr>
          <w:ilvl w:val="0"/>
          <w:numId w:val="4"/>
        </w:numPr>
        <w:spacing w:before="240" w:after="240"/>
        <w:rPr>
          <w:b/>
        </w:rPr>
      </w:pPr>
      <w:r>
        <w:rPr>
          <w:b/>
        </w:rPr>
        <w:t>CPNRD Canal Recharge</w:t>
      </w:r>
    </w:p>
    <w:p w14:paraId="0DAED5B1" w14:textId="2C41252B" w:rsidR="00BB3878" w:rsidRDefault="00B0135F" w:rsidP="00354C75">
      <w:r>
        <w:t>CPNRD first diverted excess flows into the Thirty Mile, Cozad, and Orchard-Alfalfa canals for recharge in</w:t>
      </w:r>
      <w:r w:rsidR="000E152E">
        <w:t xml:space="preserve"> April and May</w:t>
      </w:r>
      <w:r>
        <w:t xml:space="preserve"> 2011</w:t>
      </w:r>
      <w:r w:rsidR="000E152E">
        <w:rPr>
          <w:rStyle w:val="FootnoteReference"/>
          <w:szCs w:val="24"/>
        </w:rPr>
        <w:footnoteReference w:id="14"/>
      </w:r>
      <w:r>
        <w:t xml:space="preserve">.  </w:t>
      </w:r>
      <w:r w:rsidR="000028CE">
        <w:t xml:space="preserve">The Program and CPNRD signed a </w:t>
      </w:r>
      <w:r w:rsidR="00F82E24">
        <w:t xml:space="preserve">water use </w:t>
      </w:r>
      <w:r w:rsidR="000028CE">
        <w:t>lease agreement in December 2013</w:t>
      </w:r>
      <w:r w:rsidR="008A0635">
        <w:t>,</w:t>
      </w:r>
      <w:r w:rsidR="000028CE">
        <w:t xml:space="preserve"> under which CPNRD </w:t>
      </w:r>
      <w:r>
        <w:t>was to provide</w:t>
      </w:r>
      <w:r w:rsidR="000028CE">
        <w:t xml:space="preserve"> up to 20,500 AF per year to the </w:t>
      </w:r>
      <w:r w:rsidR="00DA2EFC">
        <w:t>Program</w:t>
      </w:r>
      <w:r w:rsidR="000028CE">
        <w:t xml:space="preserve"> through a combination of transferred surface water and accretions from groundwater recharge in the </w:t>
      </w:r>
      <w:r w:rsidR="000E152E">
        <w:t xml:space="preserve">three </w:t>
      </w:r>
      <w:r w:rsidR="000028CE">
        <w:t>canals.</w:t>
      </w:r>
      <w:r w:rsidR="00E1282F">
        <w:t xml:space="preserve">  </w:t>
      </w:r>
      <w:r>
        <w:t>The surface water and groundwater components were eventually split into separate WAP projects</w:t>
      </w:r>
      <w:r w:rsidR="000E152E">
        <w:t xml:space="preserve"> for the Program</w:t>
      </w:r>
      <w:r>
        <w:t xml:space="preserve"> but the agreement, as amended, remained in effect through the end of 2019.</w:t>
      </w:r>
      <w:r w:rsidR="00460643">
        <w:t xml:space="preserve">  </w:t>
      </w:r>
      <w:r w:rsidR="00460643" w:rsidRPr="00396DA9">
        <w:rPr>
          <w:b/>
          <w:bCs/>
        </w:rPr>
        <w:t xml:space="preserve">Table </w:t>
      </w:r>
      <w:r w:rsidR="00A44AA9">
        <w:rPr>
          <w:b/>
          <w:bCs/>
        </w:rPr>
        <w:t>9</w:t>
      </w:r>
      <w:r w:rsidR="00460643">
        <w:t xml:space="preserve"> </w:t>
      </w:r>
      <w:r w:rsidR="00396DA9">
        <w:t>shows the volumes of accretions invoiced under this agreement from 2013-2019.</w:t>
      </w:r>
      <w:r w:rsidR="00BB3878">
        <w:t xml:space="preserve">  </w:t>
      </w:r>
      <w:r w:rsidR="001205F3">
        <w:t xml:space="preserve">  </w:t>
      </w:r>
      <w:r w:rsidR="00BB3878">
        <w:t xml:space="preserve">  </w:t>
      </w:r>
    </w:p>
    <w:p w14:paraId="4619EA77" w14:textId="77777777" w:rsidR="00396DA9" w:rsidRDefault="00396DA9" w:rsidP="00354C75"/>
    <w:p w14:paraId="6ADD0946" w14:textId="529468B1" w:rsidR="00396DA9" w:rsidRPr="00F347CB" w:rsidRDefault="00E80B84" w:rsidP="00354C75">
      <w:pPr>
        <w:rPr>
          <w:b/>
          <w:bCs/>
          <w:sz w:val="22"/>
        </w:rPr>
      </w:pPr>
      <w:r w:rsidRPr="00F347CB">
        <w:rPr>
          <w:b/>
          <w:bCs/>
          <w:sz w:val="22"/>
        </w:rPr>
        <w:t xml:space="preserve">Table </w:t>
      </w:r>
      <w:r w:rsidR="00A44AA9">
        <w:rPr>
          <w:b/>
          <w:bCs/>
          <w:sz w:val="22"/>
        </w:rPr>
        <w:t>9</w:t>
      </w:r>
      <w:r w:rsidRPr="00F347CB">
        <w:rPr>
          <w:b/>
          <w:bCs/>
          <w:sz w:val="22"/>
        </w:rPr>
        <w:t>. Invoiced Accretions from CPNRD Canal Recharge, 2013-2019</w:t>
      </w:r>
    </w:p>
    <w:tbl>
      <w:tblPr>
        <w:tblStyle w:val="TableGrid"/>
        <w:tblW w:w="0" w:type="auto"/>
        <w:tblLook w:val="04A0" w:firstRow="1" w:lastRow="0" w:firstColumn="1" w:lastColumn="0" w:noHBand="0" w:noVBand="1"/>
      </w:tblPr>
      <w:tblGrid>
        <w:gridCol w:w="1669"/>
        <w:gridCol w:w="1653"/>
        <w:gridCol w:w="1507"/>
        <w:gridCol w:w="1507"/>
        <w:gridCol w:w="1507"/>
        <w:gridCol w:w="1507"/>
      </w:tblGrid>
      <w:tr w:rsidR="00FC063A" w14:paraId="6C575CC5" w14:textId="77777777" w:rsidTr="00F347CB">
        <w:tc>
          <w:tcPr>
            <w:tcW w:w="3322" w:type="dxa"/>
            <w:gridSpan w:val="2"/>
            <w:shd w:val="clear" w:color="auto" w:fill="C2D69B" w:themeFill="accent3" w:themeFillTint="99"/>
            <w:vAlign w:val="bottom"/>
          </w:tcPr>
          <w:p w14:paraId="009AC7E9" w14:textId="4111B4A5" w:rsidR="00FC063A" w:rsidRPr="00FC063A" w:rsidRDefault="00FC063A" w:rsidP="00F347CB">
            <w:pPr>
              <w:pStyle w:val="ListParagraph"/>
              <w:ind w:left="0"/>
              <w:jc w:val="center"/>
              <w:rPr>
                <w:b/>
                <w:bCs/>
                <w:sz w:val="22"/>
              </w:rPr>
            </w:pPr>
            <w:r w:rsidRPr="00FC063A">
              <w:rPr>
                <w:b/>
                <w:bCs/>
                <w:sz w:val="22"/>
              </w:rPr>
              <w:t>Year</w:t>
            </w:r>
          </w:p>
        </w:tc>
        <w:tc>
          <w:tcPr>
            <w:tcW w:w="1507" w:type="dxa"/>
            <w:shd w:val="clear" w:color="auto" w:fill="C2D69B" w:themeFill="accent3" w:themeFillTint="99"/>
            <w:vAlign w:val="bottom"/>
          </w:tcPr>
          <w:p w14:paraId="6DC28E28" w14:textId="77777777" w:rsidR="00FC063A" w:rsidRDefault="00FC063A" w:rsidP="00F347CB">
            <w:pPr>
              <w:pStyle w:val="ListParagraph"/>
              <w:ind w:left="0"/>
              <w:jc w:val="center"/>
              <w:rPr>
                <w:b/>
                <w:bCs/>
                <w:sz w:val="22"/>
              </w:rPr>
            </w:pPr>
            <w:r w:rsidRPr="00FC063A">
              <w:rPr>
                <w:b/>
                <w:bCs/>
                <w:sz w:val="22"/>
              </w:rPr>
              <w:t>Thirty Mile</w:t>
            </w:r>
          </w:p>
          <w:p w14:paraId="4CF3DD0E" w14:textId="52918B1F" w:rsidR="00E80B84" w:rsidRPr="00FC063A" w:rsidRDefault="00E80B84" w:rsidP="00F347CB">
            <w:pPr>
              <w:pStyle w:val="ListParagraph"/>
              <w:ind w:left="0"/>
              <w:jc w:val="center"/>
              <w:rPr>
                <w:b/>
                <w:bCs/>
                <w:sz w:val="22"/>
              </w:rPr>
            </w:pPr>
            <w:r>
              <w:rPr>
                <w:b/>
                <w:bCs/>
                <w:sz w:val="22"/>
              </w:rPr>
              <w:t>(AF)</w:t>
            </w:r>
          </w:p>
        </w:tc>
        <w:tc>
          <w:tcPr>
            <w:tcW w:w="1507" w:type="dxa"/>
            <w:shd w:val="clear" w:color="auto" w:fill="C2D69B" w:themeFill="accent3" w:themeFillTint="99"/>
            <w:vAlign w:val="bottom"/>
          </w:tcPr>
          <w:p w14:paraId="048FEF9D" w14:textId="77777777" w:rsidR="00FC063A" w:rsidRDefault="00FC063A" w:rsidP="00F347CB">
            <w:pPr>
              <w:pStyle w:val="ListParagraph"/>
              <w:ind w:left="0"/>
              <w:jc w:val="center"/>
              <w:rPr>
                <w:b/>
                <w:bCs/>
                <w:sz w:val="22"/>
              </w:rPr>
            </w:pPr>
            <w:r w:rsidRPr="00FC063A">
              <w:rPr>
                <w:b/>
                <w:bCs/>
                <w:sz w:val="22"/>
              </w:rPr>
              <w:t>Cozad</w:t>
            </w:r>
          </w:p>
          <w:p w14:paraId="5DF20A53" w14:textId="478AAC3C" w:rsidR="00E80B84" w:rsidRPr="00FC063A" w:rsidRDefault="00E80B84" w:rsidP="00F347CB">
            <w:pPr>
              <w:pStyle w:val="ListParagraph"/>
              <w:ind w:left="0"/>
              <w:jc w:val="center"/>
              <w:rPr>
                <w:b/>
                <w:bCs/>
                <w:sz w:val="22"/>
              </w:rPr>
            </w:pPr>
            <w:r>
              <w:rPr>
                <w:b/>
                <w:bCs/>
                <w:sz w:val="22"/>
              </w:rPr>
              <w:t>(AF)</w:t>
            </w:r>
          </w:p>
        </w:tc>
        <w:tc>
          <w:tcPr>
            <w:tcW w:w="1507" w:type="dxa"/>
            <w:shd w:val="clear" w:color="auto" w:fill="C2D69B" w:themeFill="accent3" w:themeFillTint="99"/>
            <w:vAlign w:val="bottom"/>
          </w:tcPr>
          <w:p w14:paraId="113481E1" w14:textId="77777777" w:rsidR="00FC063A" w:rsidRDefault="00FC063A" w:rsidP="00F347CB">
            <w:pPr>
              <w:pStyle w:val="ListParagraph"/>
              <w:ind w:left="0"/>
              <w:jc w:val="center"/>
              <w:rPr>
                <w:b/>
                <w:bCs/>
                <w:sz w:val="22"/>
              </w:rPr>
            </w:pPr>
            <w:r w:rsidRPr="00FC063A">
              <w:rPr>
                <w:b/>
                <w:bCs/>
                <w:sz w:val="22"/>
              </w:rPr>
              <w:t>Orchard-Alfalfa</w:t>
            </w:r>
          </w:p>
          <w:p w14:paraId="427450C2" w14:textId="34CF32D1" w:rsidR="00E80B84" w:rsidRPr="00FC063A" w:rsidRDefault="00E80B84" w:rsidP="00F347CB">
            <w:pPr>
              <w:pStyle w:val="ListParagraph"/>
              <w:ind w:left="0"/>
              <w:jc w:val="center"/>
              <w:rPr>
                <w:b/>
                <w:bCs/>
                <w:sz w:val="22"/>
              </w:rPr>
            </w:pPr>
            <w:r>
              <w:rPr>
                <w:b/>
                <w:bCs/>
                <w:sz w:val="22"/>
              </w:rPr>
              <w:t>(AF)</w:t>
            </w:r>
          </w:p>
        </w:tc>
        <w:tc>
          <w:tcPr>
            <w:tcW w:w="1507" w:type="dxa"/>
            <w:shd w:val="clear" w:color="auto" w:fill="C2D69B" w:themeFill="accent3" w:themeFillTint="99"/>
            <w:vAlign w:val="bottom"/>
          </w:tcPr>
          <w:p w14:paraId="44559BB4" w14:textId="1AE566F1" w:rsidR="00FC063A" w:rsidRDefault="00760FA5" w:rsidP="00F347CB">
            <w:pPr>
              <w:pStyle w:val="ListParagraph"/>
              <w:ind w:left="0"/>
              <w:jc w:val="center"/>
              <w:rPr>
                <w:b/>
                <w:bCs/>
                <w:sz w:val="22"/>
              </w:rPr>
            </w:pPr>
            <w:r>
              <w:rPr>
                <w:b/>
                <w:bCs/>
                <w:sz w:val="22"/>
              </w:rPr>
              <w:t xml:space="preserve">CPNRD </w:t>
            </w:r>
            <w:r w:rsidR="00E80B84">
              <w:rPr>
                <w:b/>
                <w:bCs/>
                <w:sz w:val="22"/>
              </w:rPr>
              <w:t>Total</w:t>
            </w:r>
          </w:p>
          <w:p w14:paraId="034AEC49" w14:textId="1DE85C68" w:rsidR="00E80B84" w:rsidRPr="00FC063A" w:rsidRDefault="00E80B84" w:rsidP="00F347CB">
            <w:pPr>
              <w:pStyle w:val="ListParagraph"/>
              <w:ind w:left="0"/>
              <w:jc w:val="center"/>
              <w:rPr>
                <w:b/>
                <w:bCs/>
                <w:sz w:val="22"/>
              </w:rPr>
            </w:pPr>
            <w:r>
              <w:rPr>
                <w:b/>
                <w:bCs/>
                <w:sz w:val="22"/>
              </w:rPr>
              <w:t>(AF)</w:t>
            </w:r>
          </w:p>
        </w:tc>
      </w:tr>
      <w:tr w:rsidR="00FC063A" w14:paraId="09CE51E3" w14:textId="77777777" w:rsidTr="00F6159B">
        <w:trPr>
          <w:trHeight w:val="288"/>
        </w:trPr>
        <w:tc>
          <w:tcPr>
            <w:tcW w:w="3322" w:type="dxa"/>
            <w:gridSpan w:val="2"/>
            <w:vAlign w:val="center"/>
          </w:tcPr>
          <w:p w14:paraId="7CBB7CCA" w14:textId="62F60400" w:rsidR="00FC063A" w:rsidRPr="00396DA9" w:rsidRDefault="00FC063A" w:rsidP="00FC063A">
            <w:pPr>
              <w:pStyle w:val="ListParagraph"/>
              <w:ind w:left="0"/>
              <w:jc w:val="center"/>
              <w:rPr>
                <w:sz w:val="22"/>
              </w:rPr>
            </w:pPr>
            <w:r>
              <w:rPr>
                <w:sz w:val="22"/>
              </w:rPr>
              <w:t>2013</w:t>
            </w:r>
          </w:p>
        </w:tc>
        <w:tc>
          <w:tcPr>
            <w:tcW w:w="1507" w:type="dxa"/>
            <w:vAlign w:val="center"/>
          </w:tcPr>
          <w:p w14:paraId="3FAF533C" w14:textId="06EABD73" w:rsidR="00FC063A" w:rsidRPr="00FC063A" w:rsidRDefault="00FC063A" w:rsidP="00FC063A">
            <w:pPr>
              <w:pStyle w:val="ListParagraph"/>
              <w:ind w:left="0"/>
              <w:jc w:val="center"/>
              <w:rPr>
                <w:sz w:val="22"/>
              </w:rPr>
            </w:pPr>
            <w:r w:rsidRPr="00FC063A">
              <w:rPr>
                <w:color w:val="000000"/>
                <w:sz w:val="22"/>
              </w:rPr>
              <w:t>491</w:t>
            </w:r>
          </w:p>
        </w:tc>
        <w:tc>
          <w:tcPr>
            <w:tcW w:w="1507" w:type="dxa"/>
            <w:vAlign w:val="center"/>
          </w:tcPr>
          <w:p w14:paraId="2105A588" w14:textId="767296E7" w:rsidR="00FC063A" w:rsidRPr="00FC063A" w:rsidRDefault="00FC063A" w:rsidP="00FC063A">
            <w:pPr>
              <w:pStyle w:val="ListParagraph"/>
              <w:ind w:left="0"/>
              <w:jc w:val="center"/>
              <w:rPr>
                <w:sz w:val="22"/>
              </w:rPr>
            </w:pPr>
            <w:r w:rsidRPr="00FC063A">
              <w:rPr>
                <w:color w:val="000000"/>
                <w:sz w:val="22"/>
              </w:rPr>
              <w:t>145.9</w:t>
            </w:r>
          </w:p>
        </w:tc>
        <w:tc>
          <w:tcPr>
            <w:tcW w:w="1507" w:type="dxa"/>
            <w:vAlign w:val="center"/>
          </w:tcPr>
          <w:p w14:paraId="4418F665" w14:textId="2514099D" w:rsidR="00FC063A" w:rsidRPr="00FC063A" w:rsidRDefault="00FC063A" w:rsidP="00FC063A">
            <w:pPr>
              <w:pStyle w:val="ListParagraph"/>
              <w:ind w:left="0"/>
              <w:jc w:val="center"/>
              <w:rPr>
                <w:sz w:val="22"/>
              </w:rPr>
            </w:pPr>
            <w:r w:rsidRPr="00FC063A">
              <w:rPr>
                <w:color w:val="000000"/>
                <w:sz w:val="22"/>
              </w:rPr>
              <w:t>339</w:t>
            </w:r>
          </w:p>
        </w:tc>
        <w:tc>
          <w:tcPr>
            <w:tcW w:w="1507" w:type="dxa"/>
            <w:vAlign w:val="center"/>
          </w:tcPr>
          <w:p w14:paraId="0CB1531E" w14:textId="0CC1A2E1" w:rsidR="00FC063A" w:rsidRPr="00FC063A" w:rsidRDefault="00FC063A" w:rsidP="00FC063A">
            <w:pPr>
              <w:pStyle w:val="ListParagraph"/>
              <w:ind w:left="0"/>
              <w:jc w:val="center"/>
              <w:rPr>
                <w:sz w:val="22"/>
              </w:rPr>
            </w:pPr>
            <w:r w:rsidRPr="00FC063A">
              <w:rPr>
                <w:color w:val="000000"/>
                <w:sz w:val="22"/>
              </w:rPr>
              <w:t>975.9</w:t>
            </w:r>
          </w:p>
        </w:tc>
      </w:tr>
      <w:tr w:rsidR="00FC063A" w14:paraId="245CB354" w14:textId="77777777" w:rsidTr="00F6159B">
        <w:trPr>
          <w:trHeight w:val="288"/>
        </w:trPr>
        <w:tc>
          <w:tcPr>
            <w:tcW w:w="3322" w:type="dxa"/>
            <w:gridSpan w:val="2"/>
            <w:vAlign w:val="center"/>
          </w:tcPr>
          <w:p w14:paraId="5BF33C2E" w14:textId="5BFCDE14" w:rsidR="00FC063A" w:rsidRPr="00396DA9" w:rsidRDefault="00FC063A" w:rsidP="00FC063A">
            <w:pPr>
              <w:pStyle w:val="ListParagraph"/>
              <w:ind w:left="0"/>
              <w:jc w:val="center"/>
              <w:rPr>
                <w:sz w:val="22"/>
              </w:rPr>
            </w:pPr>
            <w:r>
              <w:rPr>
                <w:sz w:val="22"/>
              </w:rPr>
              <w:t>2014</w:t>
            </w:r>
          </w:p>
        </w:tc>
        <w:tc>
          <w:tcPr>
            <w:tcW w:w="1507" w:type="dxa"/>
            <w:vAlign w:val="center"/>
          </w:tcPr>
          <w:p w14:paraId="1D58A633" w14:textId="7B925937" w:rsidR="00FC063A" w:rsidRPr="00FC063A" w:rsidRDefault="00FC063A" w:rsidP="00FC063A">
            <w:pPr>
              <w:pStyle w:val="ListParagraph"/>
              <w:ind w:left="0"/>
              <w:jc w:val="center"/>
              <w:rPr>
                <w:sz w:val="22"/>
              </w:rPr>
            </w:pPr>
            <w:r w:rsidRPr="00FC063A">
              <w:rPr>
                <w:color w:val="000000"/>
                <w:sz w:val="22"/>
              </w:rPr>
              <w:t>425</w:t>
            </w:r>
          </w:p>
        </w:tc>
        <w:tc>
          <w:tcPr>
            <w:tcW w:w="1507" w:type="dxa"/>
            <w:vAlign w:val="center"/>
          </w:tcPr>
          <w:p w14:paraId="13A6B28D" w14:textId="38759E20" w:rsidR="00FC063A" w:rsidRPr="00FC063A" w:rsidRDefault="00FC063A" w:rsidP="00FC063A">
            <w:pPr>
              <w:pStyle w:val="ListParagraph"/>
              <w:ind w:left="0"/>
              <w:jc w:val="center"/>
              <w:rPr>
                <w:sz w:val="22"/>
              </w:rPr>
            </w:pPr>
            <w:r w:rsidRPr="00FC063A">
              <w:rPr>
                <w:color w:val="000000"/>
                <w:sz w:val="22"/>
              </w:rPr>
              <w:t>41.5</w:t>
            </w:r>
          </w:p>
        </w:tc>
        <w:tc>
          <w:tcPr>
            <w:tcW w:w="1507" w:type="dxa"/>
            <w:vAlign w:val="center"/>
          </w:tcPr>
          <w:p w14:paraId="6CECC52C" w14:textId="133FF0F1" w:rsidR="00FC063A" w:rsidRPr="00FC063A" w:rsidRDefault="00FC063A" w:rsidP="00FC063A">
            <w:pPr>
              <w:pStyle w:val="ListParagraph"/>
              <w:ind w:left="0"/>
              <w:jc w:val="center"/>
              <w:rPr>
                <w:sz w:val="22"/>
              </w:rPr>
            </w:pPr>
            <w:r w:rsidRPr="00FC063A">
              <w:rPr>
                <w:color w:val="000000"/>
                <w:sz w:val="22"/>
              </w:rPr>
              <w:t>107.5</w:t>
            </w:r>
          </w:p>
        </w:tc>
        <w:tc>
          <w:tcPr>
            <w:tcW w:w="1507" w:type="dxa"/>
            <w:vAlign w:val="center"/>
          </w:tcPr>
          <w:p w14:paraId="5255103C" w14:textId="170B13B0" w:rsidR="00FC063A" w:rsidRPr="00FC063A" w:rsidRDefault="00FC063A" w:rsidP="00FC063A">
            <w:pPr>
              <w:pStyle w:val="ListParagraph"/>
              <w:ind w:left="0"/>
              <w:jc w:val="center"/>
              <w:rPr>
                <w:sz w:val="22"/>
              </w:rPr>
            </w:pPr>
            <w:r w:rsidRPr="00FC063A">
              <w:rPr>
                <w:color w:val="000000"/>
                <w:sz w:val="22"/>
              </w:rPr>
              <w:t>574</w:t>
            </w:r>
          </w:p>
        </w:tc>
      </w:tr>
      <w:tr w:rsidR="00FC063A" w14:paraId="7D67EF41" w14:textId="77777777" w:rsidTr="00F6159B">
        <w:trPr>
          <w:trHeight w:val="288"/>
        </w:trPr>
        <w:tc>
          <w:tcPr>
            <w:tcW w:w="3322" w:type="dxa"/>
            <w:gridSpan w:val="2"/>
            <w:vAlign w:val="center"/>
          </w:tcPr>
          <w:p w14:paraId="3EDD09CC" w14:textId="28CC896D" w:rsidR="00FC063A" w:rsidRPr="00396DA9" w:rsidRDefault="00FC063A" w:rsidP="00FC063A">
            <w:pPr>
              <w:pStyle w:val="ListParagraph"/>
              <w:ind w:left="0"/>
              <w:jc w:val="center"/>
              <w:rPr>
                <w:sz w:val="22"/>
              </w:rPr>
            </w:pPr>
            <w:r>
              <w:rPr>
                <w:sz w:val="22"/>
              </w:rPr>
              <w:t>2015</w:t>
            </w:r>
          </w:p>
        </w:tc>
        <w:tc>
          <w:tcPr>
            <w:tcW w:w="1507" w:type="dxa"/>
            <w:vAlign w:val="center"/>
          </w:tcPr>
          <w:p w14:paraId="40CDB96A" w14:textId="1EFEFB04" w:rsidR="00FC063A" w:rsidRPr="00FC063A" w:rsidRDefault="00FC063A" w:rsidP="00FC063A">
            <w:pPr>
              <w:pStyle w:val="ListParagraph"/>
              <w:ind w:left="0"/>
              <w:jc w:val="center"/>
              <w:rPr>
                <w:sz w:val="22"/>
              </w:rPr>
            </w:pPr>
            <w:r w:rsidRPr="00FC063A">
              <w:rPr>
                <w:color w:val="000000"/>
                <w:sz w:val="22"/>
              </w:rPr>
              <w:t>796</w:t>
            </w:r>
          </w:p>
        </w:tc>
        <w:tc>
          <w:tcPr>
            <w:tcW w:w="1507" w:type="dxa"/>
            <w:vAlign w:val="center"/>
          </w:tcPr>
          <w:p w14:paraId="4A325F51" w14:textId="36F08525" w:rsidR="00FC063A" w:rsidRPr="00FC063A" w:rsidRDefault="00FC063A" w:rsidP="00FC063A">
            <w:pPr>
              <w:pStyle w:val="ListParagraph"/>
              <w:ind w:left="0"/>
              <w:jc w:val="center"/>
              <w:rPr>
                <w:sz w:val="22"/>
              </w:rPr>
            </w:pPr>
            <w:r w:rsidRPr="00FC063A">
              <w:rPr>
                <w:color w:val="000000"/>
                <w:sz w:val="22"/>
              </w:rPr>
              <w:t>204</w:t>
            </w:r>
          </w:p>
        </w:tc>
        <w:tc>
          <w:tcPr>
            <w:tcW w:w="1507" w:type="dxa"/>
            <w:vAlign w:val="center"/>
          </w:tcPr>
          <w:p w14:paraId="2F4EFD56" w14:textId="4430BB3A" w:rsidR="00FC063A" w:rsidRPr="00FC063A" w:rsidRDefault="00FC063A" w:rsidP="00FC063A">
            <w:pPr>
              <w:pStyle w:val="ListParagraph"/>
              <w:ind w:left="0"/>
              <w:jc w:val="center"/>
              <w:rPr>
                <w:sz w:val="22"/>
              </w:rPr>
            </w:pPr>
            <w:r w:rsidRPr="00FC063A">
              <w:rPr>
                <w:color w:val="000000"/>
                <w:sz w:val="22"/>
              </w:rPr>
              <w:t>221</w:t>
            </w:r>
          </w:p>
        </w:tc>
        <w:tc>
          <w:tcPr>
            <w:tcW w:w="1507" w:type="dxa"/>
            <w:vAlign w:val="center"/>
          </w:tcPr>
          <w:p w14:paraId="0459A051" w14:textId="1C8B714C" w:rsidR="00FC063A" w:rsidRPr="00FC063A" w:rsidRDefault="00FC063A" w:rsidP="00FC063A">
            <w:pPr>
              <w:pStyle w:val="ListParagraph"/>
              <w:ind w:left="0"/>
              <w:jc w:val="center"/>
              <w:rPr>
                <w:sz w:val="22"/>
              </w:rPr>
            </w:pPr>
            <w:r w:rsidRPr="00FC063A">
              <w:rPr>
                <w:color w:val="000000"/>
                <w:sz w:val="22"/>
              </w:rPr>
              <w:t>1,221</w:t>
            </w:r>
          </w:p>
        </w:tc>
      </w:tr>
      <w:tr w:rsidR="00FC063A" w14:paraId="3354450D" w14:textId="77777777" w:rsidTr="00F6159B">
        <w:trPr>
          <w:trHeight w:val="288"/>
        </w:trPr>
        <w:tc>
          <w:tcPr>
            <w:tcW w:w="3322" w:type="dxa"/>
            <w:gridSpan w:val="2"/>
            <w:vAlign w:val="center"/>
          </w:tcPr>
          <w:p w14:paraId="5708C265" w14:textId="2CF474AD" w:rsidR="00FC063A" w:rsidRPr="00396DA9" w:rsidRDefault="00FC063A" w:rsidP="00FC063A">
            <w:pPr>
              <w:pStyle w:val="ListParagraph"/>
              <w:ind w:left="0"/>
              <w:jc w:val="center"/>
              <w:rPr>
                <w:sz w:val="22"/>
              </w:rPr>
            </w:pPr>
            <w:r>
              <w:rPr>
                <w:sz w:val="22"/>
              </w:rPr>
              <w:t>2016</w:t>
            </w:r>
          </w:p>
        </w:tc>
        <w:tc>
          <w:tcPr>
            <w:tcW w:w="1507" w:type="dxa"/>
            <w:vAlign w:val="center"/>
          </w:tcPr>
          <w:p w14:paraId="0616916F" w14:textId="2C862031" w:rsidR="00FC063A" w:rsidRPr="00FC063A" w:rsidRDefault="00FC063A" w:rsidP="00FC063A">
            <w:pPr>
              <w:pStyle w:val="ListParagraph"/>
              <w:ind w:left="0"/>
              <w:jc w:val="center"/>
              <w:rPr>
                <w:sz w:val="22"/>
              </w:rPr>
            </w:pPr>
            <w:r w:rsidRPr="00FC063A">
              <w:rPr>
                <w:color w:val="000000"/>
                <w:sz w:val="22"/>
              </w:rPr>
              <w:t>892</w:t>
            </w:r>
          </w:p>
        </w:tc>
        <w:tc>
          <w:tcPr>
            <w:tcW w:w="1507" w:type="dxa"/>
            <w:vAlign w:val="center"/>
          </w:tcPr>
          <w:p w14:paraId="7E81DEAD" w14:textId="308DB864" w:rsidR="00FC063A" w:rsidRPr="00FC063A" w:rsidRDefault="00FC063A" w:rsidP="00FC063A">
            <w:pPr>
              <w:pStyle w:val="ListParagraph"/>
              <w:ind w:left="0"/>
              <w:jc w:val="center"/>
              <w:rPr>
                <w:sz w:val="22"/>
              </w:rPr>
            </w:pPr>
            <w:r w:rsidRPr="00FC063A">
              <w:rPr>
                <w:color w:val="000000"/>
                <w:sz w:val="22"/>
              </w:rPr>
              <w:t>308</w:t>
            </w:r>
          </w:p>
        </w:tc>
        <w:tc>
          <w:tcPr>
            <w:tcW w:w="1507" w:type="dxa"/>
            <w:vAlign w:val="center"/>
          </w:tcPr>
          <w:p w14:paraId="2AD602A7" w14:textId="47E79DD5" w:rsidR="00FC063A" w:rsidRPr="00FC063A" w:rsidRDefault="00FC063A" w:rsidP="00FC063A">
            <w:pPr>
              <w:pStyle w:val="ListParagraph"/>
              <w:ind w:left="0"/>
              <w:jc w:val="center"/>
              <w:rPr>
                <w:sz w:val="22"/>
              </w:rPr>
            </w:pPr>
            <w:r w:rsidRPr="00FC063A">
              <w:rPr>
                <w:color w:val="000000"/>
                <w:sz w:val="22"/>
              </w:rPr>
              <w:t>212</w:t>
            </w:r>
          </w:p>
        </w:tc>
        <w:tc>
          <w:tcPr>
            <w:tcW w:w="1507" w:type="dxa"/>
            <w:vAlign w:val="center"/>
          </w:tcPr>
          <w:p w14:paraId="6F308467" w14:textId="1B9ED57D" w:rsidR="00FC063A" w:rsidRPr="00FC063A" w:rsidRDefault="00FC063A" w:rsidP="00FC063A">
            <w:pPr>
              <w:pStyle w:val="ListParagraph"/>
              <w:ind w:left="0"/>
              <w:jc w:val="center"/>
              <w:rPr>
                <w:sz w:val="22"/>
              </w:rPr>
            </w:pPr>
            <w:r w:rsidRPr="00FC063A">
              <w:rPr>
                <w:color w:val="000000"/>
                <w:sz w:val="22"/>
              </w:rPr>
              <w:t>1,412</w:t>
            </w:r>
          </w:p>
        </w:tc>
      </w:tr>
      <w:tr w:rsidR="00FC063A" w14:paraId="54F10229" w14:textId="77777777" w:rsidTr="00F6159B">
        <w:trPr>
          <w:trHeight w:val="288"/>
        </w:trPr>
        <w:tc>
          <w:tcPr>
            <w:tcW w:w="1669" w:type="dxa"/>
            <w:vMerge w:val="restart"/>
            <w:vAlign w:val="center"/>
          </w:tcPr>
          <w:p w14:paraId="42E9D146" w14:textId="715FE747" w:rsidR="00FC063A" w:rsidRPr="00396DA9" w:rsidRDefault="00FC063A" w:rsidP="00FC063A">
            <w:pPr>
              <w:pStyle w:val="ListParagraph"/>
              <w:ind w:left="0"/>
              <w:jc w:val="center"/>
              <w:rPr>
                <w:sz w:val="22"/>
              </w:rPr>
            </w:pPr>
            <w:r>
              <w:rPr>
                <w:sz w:val="22"/>
              </w:rPr>
              <w:t>2017</w:t>
            </w:r>
          </w:p>
        </w:tc>
        <w:tc>
          <w:tcPr>
            <w:tcW w:w="1653" w:type="dxa"/>
            <w:vAlign w:val="center"/>
          </w:tcPr>
          <w:p w14:paraId="1F0E4432" w14:textId="5E7D9CC8" w:rsidR="00FC063A" w:rsidRPr="00FC063A" w:rsidRDefault="00FC063A" w:rsidP="00FC063A">
            <w:pPr>
              <w:pStyle w:val="ListParagraph"/>
              <w:ind w:left="0"/>
              <w:jc w:val="center"/>
              <w:rPr>
                <w:sz w:val="22"/>
              </w:rPr>
            </w:pPr>
            <w:r>
              <w:rPr>
                <w:color w:val="000000"/>
                <w:sz w:val="22"/>
              </w:rPr>
              <w:t>Current Year</w:t>
            </w:r>
          </w:p>
        </w:tc>
        <w:tc>
          <w:tcPr>
            <w:tcW w:w="1507" w:type="dxa"/>
            <w:vAlign w:val="center"/>
          </w:tcPr>
          <w:p w14:paraId="015AFCDF" w14:textId="591CC91C" w:rsidR="00FC063A" w:rsidRPr="00FC063A" w:rsidRDefault="00FC063A" w:rsidP="00FC063A">
            <w:pPr>
              <w:pStyle w:val="ListParagraph"/>
              <w:ind w:left="0"/>
              <w:jc w:val="center"/>
              <w:rPr>
                <w:sz w:val="22"/>
              </w:rPr>
            </w:pPr>
            <w:r w:rsidRPr="00FC063A">
              <w:rPr>
                <w:color w:val="000000"/>
                <w:sz w:val="22"/>
              </w:rPr>
              <w:t>1,583</w:t>
            </w:r>
          </w:p>
        </w:tc>
        <w:tc>
          <w:tcPr>
            <w:tcW w:w="1507" w:type="dxa"/>
            <w:vAlign w:val="center"/>
          </w:tcPr>
          <w:p w14:paraId="183254F8" w14:textId="27644D7F" w:rsidR="00FC063A" w:rsidRPr="00FC063A" w:rsidRDefault="00FC063A" w:rsidP="00FC063A">
            <w:pPr>
              <w:pStyle w:val="ListParagraph"/>
              <w:ind w:left="0"/>
              <w:jc w:val="center"/>
              <w:rPr>
                <w:sz w:val="22"/>
              </w:rPr>
            </w:pPr>
            <w:r w:rsidRPr="00FC063A">
              <w:rPr>
                <w:color w:val="000000"/>
                <w:sz w:val="22"/>
              </w:rPr>
              <w:t>306</w:t>
            </w:r>
          </w:p>
        </w:tc>
        <w:tc>
          <w:tcPr>
            <w:tcW w:w="1507" w:type="dxa"/>
            <w:vAlign w:val="center"/>
          </w:tcPr>
          <w:p w14:paraId="1AA3AE29" w14:textId="1B933F5A" w:rsidR="00FC063A" w:rsidRPr="00FC063A" w:rsidRDefault="00FC063A" w:rsidP="00FC063A">
            <w:pPr>
              <w:pStyle w:val="ListParagraph"/>
              <w:ind w:left="0"/>
              <w:jc w:val="center"/>
              <w:rPr>
                <w:sz w:val="22"/>
              </w:rPr>
            </w:pPr>
            <w:r w:rsidRPr="00FC063A">
              <w:rPr>
                <w:color w:val="000000"/>
                <w:sz w:val="22"/>
              </w:rPr>
              <w:t>488</w:t>
            </w:r>
          </w:p>
        </w:tc>
        <w:tc>
          <w:tcPr>
            <w:tcW w:w="1507" w:type="dxa"/>
            <w:vAlign w:val="center"/>
          </w:tcPr>
          <w:p w14:paraId="145D28C0" w14:textId="7AF22A52" w:rsidR="00FC063A" w:rsidRPr="00FC063A" w:rsidRDefault="00FC063A" w:rsidP="00FC063A">
            <w:pPr>
              <w:pStyle w:val="ListParagraph"/>
              <w:ind w:left="0"/>
              <w:jc w:val="center"/>
              <w:rPr>
                <w:sz w:val="22"/>
              </w:rPr>
            </w:pPr>
            <w:r w:rsidRPr="00FC063A">
              <w:rPr>
                <w:color w:val="000000"/>
                <w:sz w:val="22"/>
              </w:rPr>
              <w:t>2,377</w:t>
            </w:r>
          </w:p>
        </w:tc>
      </w:tr>
      <w:tr w:rsidR="00FC063A" w14:paraId="29511487" w14:textId="77777777" w:rsidTr="00DC1CCB">
        <w:trPr>
          <w:trHeight w:val="576"/>
        </w:trPr>
        <w:tc>
          <w:tcPr>
            <w:tcW w:w="1669" w:type="dxa"/>
            <w:vMerge/>
            <w:vAlign w:val="center"/>
          </w:tcPr>
          <w:p w14:paraId="3CECCE20" w14:textId="77777777" w:rsidR="00FC063A" w:rsidRPr="00396DA9" w:rsidRDefault="00FC063A" w:rsidP="00FC063A">
            <w:pPr>
              <w:pStyle w:val="ListParagraph"/>
              <w:ind w:left="0"/>
              <w:jc w:val="center"/>
              <w:rPr>
                <w:sz w:val="22"/>
              </w:rPr>
            </w:pPr>
          </w:p>
        </w:tc>
        <w:tc>
          <w:tcPr>
            <w:tcW w:w="1653" w:type="dxa"/>
            <w:vAlign w:val="center"/>
          </w:tcPr>
          <w:p w14:paraId="63AC8115" w14:textId="6CA0E6D3" w:rsidR="00FC063A" w:rsidRPr="00FC063A" w:rsidRDefault="00FC063A" w:rsidP="00FC063A">
            <w:pPr>
              <w:pStyle w:val="ListParagraph"/>
              <w:ind w:left="0"/>
              <w:jc w:val="center"/>
              <w:rPr>
                <w:sz w:val="22"/>
              </w:rPr>
            </w:pPr>
            <w:r>
              <w:rPr>
                <w:sz w:val="22"/>
              </w:rPr>
              <w:t>Past Year Adjustments</w:t>
            </w:r>
          </w:p>
        </w:tc>
        <w:tc>
          <w:tcPr>
            <w:tcW w:w="1507" w:type="dxa"/>
            <w:vAlign w:val="center"/>
          </w:tcPr>
          <w:p w14:paraId="6BE0EC33" w14:textId="5ADEE6B6" w:rsidR="00FC063A" w:rsidRPr="00FC063A" w:rsidRDefault="00FC063A" w:rsidP="00FC063A">
            <w:pPr>
              <w:pStyle w:val="ListParagraph"/>
              <w:ind w:left="0"/>
              <w:jc w:val="center"/>
              <w:rPr>
                <w:sz w:val="22"/>
              </w:rPr>
            </w:pPr>
            <w:r w:rsidRPr="00FC063A">
              <w:rPr>
                <w:color w:val="000000"/>
                <w:sz w:val="22"/>
              </w:rPr>
              <w:t>38</w:t>
            </w:r>
          </w:p>
        </w:tc>
        <w:tc>
          <w:tcPr>
            <w:tcW w:w="1507" w:type="dxa"/>
            <w:vAlign w:val="center"/>
          </w:tcPr>
          <w:p w14:paraId="39563007" w14:textId="6F970887" w:rsidR="00FC063A" w:rsidRPr="00FC063A" w:rsidRDefault="00FC063A" w:rsidP="00FC063A">
            <w:pPr>
              <w:pStyle w:val="ListParagraph"/>
              <w:ind w:left="0"/>
              <w:jc w:val="center"/>
              <w:rPr>
                <w:sz w:val="22"/>
              </w:rPr>
            </w:pPr>
            <w:r w:rsidRPr="00FC063A">
              <w:rPr>
                <w:color w:val="000000"/>
                <w:sz w:val="22"/>
              </w:rPr>
              <w:t>0</w:t>
            </w:r>
          </w:p>
        </w:tc>
        <w:tc>
          <w:tcPr>
            <w:tcW w:w="1507" w:type="dxa"/>
            <w:vAlign w:val="center"/>
          </w:tcPr>
          <w:p w14:paraId="2ED25E1C" w14:textId="79936EA3" w:rsidR="00FC063A" w:rsidRPr="00FC063A" w:rsidRDefault="00FC063A" w:rsidP="00FC063A">
            <w:pPr>
              <w:pStyle w:val="ListParagraph"/>
              <w:ind w:left="0"/>
              <w:jc w:val="center"/>
              <w:rPr>
                <w:sz w:val="22"/>
              </w:rPr>
            </w:pPr>
            <w:r w:rsidRPr="00FC063A">
              <w:rPr>
                <w:color w:val="000000"/>
                <w:sz w:val="22"/>
              </w:rPr>
              <w:t>826</w:t>
            </w:r>
          </w:p>
        </w:tc>
        <w:tc>
          <w:tcPr>
            <w:tcW w:w="1507" w:type="dxa"/>
            <w:vAlign w:val="center"/>
          </w:tcPr>
          <w:p w14:paraId="57711C21" w14:textId="2808502A" w:rsidR="00FC063A" w:rsidRPr="00FC063A" w:rsidRDefault="00FC063A" w:rsidP="00FC063A">
            <w:pPr>
              <w:pStyle w:val="ListParagraph"/>
              <w:ind w:left="0"/>
              <w:jc w:val="center"/>
              <w:rPr>
                <w:sz w:val="22"/>
              </w:rPr>
            </w:pPr>
            <w:r w:rsidRPr="00FC063A">
              <w:rPr>
                <w:color w:val="000000"/>
                <w:sz w:val="22"/>
              </w:rPr>
              <w:t>864</w:t>
            </w:r>
          </w:p>
        </w:tc>
      </w:tr>
      <w:tr w:rsidR="00FC063A" w14:paraId="5346F71B" w14:textId="77777777" w:rsidTr="00F6159B">
        <w:trPr>
          <w:trHeight w:val="288"/>
        </w:trPr>
        <w:tc>
          <w:tcPr>
            <w:tcW w:w="1669" w:type="dxa"/>
            <w:vMerge/>
            <w:vAlign w:val="center"/>
          </w:tcPr>
          <w:p w14:paraId="268D4028" w14:textId="77777777" w:rsidR="00FC063A" w:rsidRPr="00396DA9" w:rsidRDefault="00FC063A" w:rsidP="00FC063A">
            <w:pPr>
              <w:pStyle w:val="ListParagraph"/>
              <w:ind w:left="0"/>
              <w:jc w:val="center"/>
              <w:rPr>
                <w:sz w:val="22"/>
              </w:rPr>
            </w:pPr>
          </w:p>
        </w:tc>
        <w:tc>
          <w:tcPr>
            <w:tcW w:w="1653" w:type="dxa"/>
            <w:vAlign w:val="center"/>
          </w:tcPr>
          <w:p w14:paraId="13E31274" w14:textId="6F9EE0E3" w:rsidR="00FC063A" w:rsidRPr="00FC063A" w:rsidRDefault="00FC063A" w:rsidP="00FC063A">
            <w:pPr>
              <w:pStyle w:val="ListParagraph"/>
              <w:ind w:left="0"/>
              <w:jc w:val="center"/>
              <w:rPr>
                <w:sz w:val="22"/>
              </w:rPr>
            </w:pPr>
            <w:r>
              <w:rPr>
                <w:sz w:val="22"/>
              </w:rPr>
              <w:t>Total</w:t>
            </w:r>
          </w:p>
        </w:tc>
        <w:tc>
          <w:tcPr>
            <w:tcW w:w="1507" w:type="dxa"/>
            <w:vAlign w:val="center"/>
          </w:tcPr>
          <w:p w14:paraId="0947B067" w14:textId="04FB0CBB" w:rsidR="00FC063A" w:rsidRPr="00FC063A" w:rsidRDefault="00FC063A" w:rsidP="00FC063A">
            <w:pPr>
              <w:pStyle w:val="ListParagraph"/>
              <w:ind w:left="0"/>
              <w:jc w:val="center"/>
              <w:rPr>
                <w:sz w:val="22"/>
              </w:rPr>
            </w:pPr>
            <w:r w:rsidRPr="00FC063A">
              <w:rPr>
                <w:color w:val="000000"/>
                <w:sz w:val="22"/>
              </w:rPr>
              <w:t>1,621</w:t>
            </w:r>
          </w:p>
        </w:tc>
        <w:tc>
          <w:tcPr>
            <w:tcW w:w="1507" w:type="dxa"/>
            <w:vAlign w:val="center"/>
          </w:tcPr>
          <w:p w14:paraId="7381F520" w14:textId="392DF0A1" w:rsidR="00FC063A" w:rsidRPr="00FC063A" w:rsidRDefault="00FC063A" w:rsidP="00FC063A">
            <w:pPr>
              <w:pStyle w:val="ListParagraph"/>
              <w:ind w:left="0"/>
              <w:jc w:val="center"/>
              <w:rPr>
                <w:sz w:val="22"/>
              </w:rPr>
            </w:pPr>
            <w:r w:rsidRPr="00FC063A">
              <w:rPr>
                <w:color w:val="000000"/>
                <w:sz w:val="22"/>
              </w:rPr>
              <w:t>306</w:t>
            </w:r>
          </w:p>
        </w:tc>
        <w:tc>
          <w:tcPr>
            <w:tcW w:w="1507" w:type="dxa"/>
            <w:vAlign w:val="center"/>
          </w:tcPr>
          <w:p w14:paraId="1E47251B" w14:textId="50FA4BD0" w:rsidR="00FC063A" w:rsidRPr="00FC063A" w:rsidRDefault="00FC063A" w:rsidP="00FC063A">
            <w:pPr>
              <w:pStyle w:val="ListParagraph"/>
              <w:ind w:left="0"/>
              <w:jc w:val="center"/>
              <w:rPr>
                <w:sz w:val="22"/>
              </w:rPr>
            </w:pPr>
            <w:r w:rsidRPr="00FC063A">
              <w:rPr>
                <w:color w:val="000000"/>
                <w:sz w:val="22"/>
              </w:rPr>
              <w:t>1,314</w:t>
            </w:r>
          </w:p>
        </w:tc>
        <w:tc>
          <w:tcPr>
            <w:tcW w:w="1507" w:type="dxa"/>
            <w:vAlign w:val="center"/>
          </w:tcPr>
          <w:p w14:paraId="2A672D70" w14:textId="2D3B4142" w:rsidR="00FC063A" w:rsidRPr="00FC063A" w:rsidRDefault="00FC063A" w:rsidP="00FC063A">
            <w:pPr>
              <w:pStyle w:val="ListParagraph"/>
              <w:ind w:left="0"/>
              <w:jc w:val="center"/>
              <w:rPr>
                <w:sz w:val="22"/>
              </w:rPr>
            </w:pPr>
            <w:r w:rsidRPr="00FC063A">
              <w:rPr>
                <w:color w:val="000000"/>
                <w:sz w:val="22"/>
              </w:rPr>
              <w:t>3,241</w:t>
            </w:r>
          </w:p>
        </w:tc>
      </w:tr>
      <w:tr w:rsidR="00FC063A" w14:paraId="60EC779D" w14:textId="77777777" w:rsidTr="00F6159B">
        <w:trPr>
          <w:trHeight w:val="288"/>
        </w:trPr>
        <w:tc>
          <w:tcPr>
            <w:tcW w:w="3322" w:type="dxa"/>
            <w:gridSpan w:val="2"/>
            <w:vAlign w:val="center"/>
          </w:tcPr>
          <w:p w14:paraId="02C14D53" w14:textId="6365CFAB" w:rsidR="00FC063A" w:rsidRPr="00396DA9" w:rsidRDefault="00FC063A" w:rsidP="00FC063A">
            <w:pPr>
              <w:pStyle w:val="ListParagraph"/>
              <w:ind w:left="0"/>
              <w:jc w:val="center"/>
              <w:rPr>
                <w:sz w:val="22"/>
              </w:rPr>
            </w:pPr>
            <w:r>
              <w:rPr>
                <w:sz w:val="22"/>
              </w:rPr>
              <w:t>2018</w:t>
            </w:r>
          </w:p>
        </w:tc>
        <w:tc>
          <w:tcPr>
            <w:tcW w:w="1507" w:type="dxa"/>
            <w:vAlign w:val="center"/>
          </w:tcPr>
          <w:p w14:paraId="4CC02146" w14:textId="53026DF3" w:rsidR="00FC063A" w:rsidRPr="00FC063A" w:rsidRDefault="00FC063A" w:rsidP="00FC063A">
            <w:pPr>
              <w:pStyle w:val="ListParagraph"/>
              <w:ind w:left="0"/>
              <w:jc w:val="center"/>
              <w:rPr>
                <w:sz w:val="22"/>
              </w:rPr>
            </w:pPr>
            <w:r w:rsidRPr="00FC063A">
              <w:rPr>
                <w:color w:val="000000"/>
                <w:sz w:val="22"/>
              </w:rPr>
              <w:t>1,282</w:t>
            </w:r>
          </w:p>
        </w:tc>
        <w:tc>
          <w:tcPr>
            <w:tcW w:w="1507" w:type="dxa"/>
            <w:vAlign w:val="center"/>
          </w:tcPr>
          <w:p w14:paraId="03818940" w14:textId="1F40E7AF" w:rsidR="00FC063A" w:rsidRPr="00FC063A" w:rsidRDefault="00FC063A" w:rsidP="00FC063A">
            <w:pPr>
              <w:pStyle w:val="ListParagraph"/>
              <w:ind w:left="0"/>
              <w:jc w:val="center"/>
              <w:rPr>
                <w:sz w:val="22"/>
              </w:rPr>
            </w:pPr>
            <w:r w:rsidRPr="00FC063A">
              <w:rPr>
                <w:color w:val="000000"/>
                <w:sz w:val="22"/>
              </w:rPr>
              <w:t>251</w:t>
            </w:r>
          </w:p>
        </w:tc>
        <w:tc>
          <w:tcPr>
            <w:tcW w:w="1507" w:type="dxa"/>
            <w:vAlign w:val="center"/>
          </w:tcPr>
          <w:p w14:paraId="01C95626" w14:textId="1804E757" w:rsidR="00FC063A" w:rsidRPr="00FC063A" w:rsidRDefault="00FC063A" w:rsidP="00FC063A">
            <w:pPr>
              <w:pStyle w:val="ListParagraph"/>
              <w:ind w:left="0"/>
              <w:jc w:val="center"/>
              <w:rPr>
                <w:sz w:val="22"/>
              </w:rPr>
            </w:pPr>
            <w:r w:rsidRPr="00FC063A">
              <w:rPr>
                <w:color w:val="000000"/>
                <w:sz w:val="22"/>
              </w:rPr>
              <w:t>333</w:t>
            </w:r>
          </w:p>
        </w:tc>
        <w:tc>
          <w:tcPr>
            <w:tcW w:w="1507" w:type="dxa"/>
            <w:vAlign w:val="center"/>
          </w:tcPr>
          <w:p w14:paraId="23FAA083" w14:textId="0F2BA204" w:rsidR="00FC063A" w:rsidRPr="00FC063A" w:rsidRDefault="00FC063A" w:rsidP="00FC063A">
            <w:pPr>
              <w:pStyle w:val="ListParagraph"/>
              <w:ind w:left="0"/>
              <w:jc w:val="center"/>
              <w:rPr>
                <w:sz w:val="22"/>
              </w:rPr>
            </w:pPr>
            <w:r w:rsidRPr="00FC063A">
              <w:rPr>
                <w:color w:val="000000"/>
                <w:sz w:val="22"/>
              </w:rPr>
              <w:t>1,866</w:t>
            </w:r>
          </w:p>
        </w:tc>
      </w:tr>
      <w:tr w:rsidR="00FC063A" w14:paraId="4B410882" w14:textId="77777777" w:rsidTr="00F6159B">
        <w:trPr>
          <w:trHeight w:val="288"/>
        </w:trPr>
        <w:tc>
          <w:tcPr>
            <w:tcW w:w="3322" w:type="dxa"/>
            <w:gridSpan w:val="2"/>
            <w:vAlign w:val="center"/>
          </w:tcPr>
          <w:p w14:paraId="57658CCD" w14:textId="312F577E" w:rsidR="00FC063A" w:rsidRPr="00396DA9" w:rsidRDefault="00FC063A" w:rsidP="00FC063A">
            <w:pPr>
              <w:pStyle w:val="ListParagraph"/>
              <w:ind w:left="0"/>
              <w:jc w:val="center"/>
              <w:rPr>
                <w:sz w:val="22"/>
              </w:rPr>
            </w:pPr>
            <w:r>
              <w:rPr>
                <w:sz w:val="22"/>
              </w:rPr>
              <w:t>2019</w:t>
            </w:r>
          </w:p>
        </w:tc>
        <w:tc>
          <w:tcPr>
            <w:tcW w:w="1507" w:type="dxa"/>
            <w:vAlign w:val="center"/>
          </w:tcPr>
          <w:p w14:paraId="6DD77042" w14:textId="17F329C7" w:rsidR="00FC063A" w:rsidRPr="00FC063A" w:rsidRDefault="00FC063A" w:rsidP="00FC063A">
            <w:pPr>
              <w:pStyle w:val="ListParagraph"/>
              <w:ind w:left="0"/>
              <w:jc w:val="center"/>
              <w:rPr>
                <w:sz w:val="22"/>
              </w:rPr>
            </w:pPr>
            <w:r w:rsidRPr="00FC063A">
              <w:rPr>
                <w:color w:val="000000"/>
                <w:sz w:val="22"/>
              </w:rPr>
              <w:t>1,019</w:t>
            </w:r>
          </w:p>
        </w:tc>
        <w:tc>
          <w:tcPr>
            <w:tcW w:w="1507" w:type="dxa"/>
            <w:vAlign w:val="center"/>
          </w:tcPr>
          <w:p w14:paraId="5BEEBA8B" w14:textId="66968537" w:rsidR="00FC063A" w:rsidRPr="00FC063A" w:rsidRDefault="00FC063A" w:rsidP="00FC063A">
            <w:pPr>
              <w:pStyle w:val="ListParagraph"/>
              <w:ind w:left="0"/>
              <w:jc w:val="center"/>
              <w:rPr>
                <w:sz w:val="22"/>
              </w:rPr>
            </w:pPr>
            <w:r w:rsidRPr="00FC063A">
              <w:rPr>
                <w:color w:val="000000"/>
                <w:sz w:val="22"/>
              </w:rPr>
              <w:t>219</w:t>
            </w:r>
          </w:p>
        </w:tc>
        <w:tc>
          <w:tcPr>
            <w:tcW w:w="1507" w:type="dxa"/>
            <w:vAlign w:val="center"/>
          </w:tcPr>
          <w:p w14:paraId="7CFA815E" w14:textId="37818B96" w:rsidR="00FC063A" w:rsidRPr="00FC063A" w:rsidRDefault="00FC063A" w:rsidP="00FC063A">
            <w:pPr>
              <w:pStyle w:val="ListParagraph"/>
              <w:ind w:left="0"/>
              <w:jc w:val="center"/>
              <w:rPr>
                <w:sz w:val="22"/>
              </w:rPr>
            </w:pPr>
            <w:r w:rsidRPr="00FC063A">
              <w:rPr>
                <w:color w:val="000000"/>
                <w:sz w:val="22"/>
              </w:rPr>
              <w:t>225</w:t>
            </w:r>
          </w:p>
        </w:tc>
        <w:tc>
          <w:tcPr>
            <w:tcW w:w="1507" w:type="dxa"/>
            <w:vAlign w:val="center"/>
          </w:tcPr>
          <w:p w14:paraId="3141FAD8" w14:textId="7FD4D5F3" w:rsidR="00FC063A" w:rsidRPr="00FC063A" w:rsidRDefault="00FC063A" w:rsidP="00FC063A">
            <w:pPr>
              <w:pStyle w:val="ListParagraph"/>
              <w:ind w:left="0"/>
              <w:jc w:val="center"/>
              <w:rPr>
                <w:sz w:val="22"/>
              </w:rPr>
            </w:pPr>
            <w:r w:rsidRPr="00FC063A">
              <w:rPr>
                <w:color w:val="000000"/>
                <w:sz w:val="22"/>
              </w:rPr>
              <w:t>1,463</w:t>
            </w:r>
          </w:p>
        </w:tc>
      </w:tr>
      <w:tr w:rsidR="00FC063A" w14:paraId="22A64D55" w14:textId="77777777" w:rsidTr="00F6159B">
        <w:trPr>
          <w:trHeight w:val="288"/>
        </w:trPr>
        <w:tc>
          <w:tcPr>
            <w:tcW w:w="3322" w:type="dxa"/>
            <w:gridSpan w:val="2"/>
            <w:shd w:val="clear" w:color="auto" w:fill="BFBFBF" w:themeFill="background1" w:themeFillShade="BF"/>
            <w:vAlign w:val="center"/>
          </w:tcPr>
          <w:p w14:paraId="55D90A86" w14:textId="5554FFFE" w:rsidR="00FC063A" w:rsidRPr="00FC063A" w:rsidRDefault="00FC063A" w:rsidP="00FC063A">
            <w:pPr>
              <w:pStyle w:val="ListParagraph"/>
              <w:ind w:left="0"/>
              <w:jc w:val="center"/>
              <w:rPr>
                <w:b/>
                <w:bCs/>
                <w:sz w:val="22"/>
              </w:rPr>
            </w:pPr>
            <w:r w:rsidRPr="00FC063A">
              <w:rPr>
                <w:b/>
                <w:bCs/>
                <w:sz w:val="22"/>
              </w:rPr>
              <w:t>Total</w:t>
            </w:r>
          </w:p>
        </w:tc>
        <w:tc>
          <w:tcPr>
            <w:tcW w:w="1507" w:type="dxa"/>
            <w:shd w:val="clear" w:color="auto" w:fill="BFBFBF" w:themeFill="background1" w:themeFillShade="BF"/>
            <w:vAlign w:val="center"/>
          </w:tcPr>
          <w:p w14:paraId="0275A248" w14:textId="2320D107" w:rsidR="00FC063A" w:rsidRPr="00FC063A" w:rsidRDefault="00FC063A" w:rsidP="00FC063A">
            <w:pPr>
              <w:pStyle w:val="ListParagraph"/>
              <w:ind w:left="0"/>
              <w:jc w:val="center"/>
              <w:rPr>
                <w:b/>
                <w:bCs/>
                <w:sz w:val="22"/>
              </w:rPr>
            </w:pPr>
            <w:r w:rsidRPr="00FC063A">
              <w:rPr>
                <w:b/>
                <w:bCs/>
                <w:color w:val="000000"/>
                <w:sz w:val="22"/>
              </w:rPr>
              <w:t>6,526</w:t>
            </w:r>
          </w:p>
        </w:tc>
        <w:tc>
          <w:tcPr>
            <w:tcW w:w="1507" w:type="dxa"/>
            <w:shd w:val="clear" w:color="auto" w:fill="BFBFBF" w:themeFill="background1" w:themeFillShade="BF"/>
            <w:vAlign w:val="center"/>
          </w:tcPr>
          <w:p w14:paraId="29875971" w14:textId="3CFFB5DC" w:rsidR="00FC063A" w:rsidRPr="00FC063A" w:rsidRDefault="00FC063A" w:rsidP="00FC063A">
            <w:pPr>
              <w:pStyle w:val="ListParagraph"/>
              <w:ind w:left="0"/>
              <w:jc w:val="center"/>
              <w:rPr>
                <w:b/>
                <w:bCs/>
                <w:sz w:val="22"/>
              </w:rPr>
            </w:pPr>
            <w:r w:rsidRPr="00FC063A">
              <w:rPr>
                <w:b/>
                <w:bCs/>
                <w:color w:val="000000"/>
                <w:sz w:val="22"/>
              </w:rPr>
              <w:t>1,475</w:t>
            </w:r>
          </w:p>
        </w:tc>
        <w:tc>
          <w:tcPr>
            <w:tcW w:w="1507" w:type="dxa"/>
            <w:shd w:val="clear" w:color="auto" w:fill="BFBFBF" w:themeFill="background1" w:themeFillShade="BF"/>
            <w:vAlign w:val="center"/>
          </w:tcPr>
          <w:p w14:paraId="75DF5156" w14:textId="38F09B3B" w:rsidR="00FC063A" w:rsidRPr="00FC063A" w:rsidRDefault="00FC063A" w:rsidP="00FC063A">
            <w:pPr>
              <w:pStyle w:val="ListParagraph"/>
              <w:ind w:left="0"/>
              <w:jc w:val="center"/>
              <w:rPr>
                <w:b/>
                <w:bCs/>
                <w:sz w:val="22"/>
              </w:rPr>
            </w:pPr>
            <w:r w:rsidRPr="00FC063A">
              <w:rPr>
                <w:b/>
                <w:bCs/>
                <w:color w:val="000000"/>
                <w:sz w:val="22"/>
              </w:rPr>
              <w:t>2,752</w:t>
            </w:r>
          </w:p>
        </w:tc>
        <w:tc>
          <w:tcPr>
            <w:tcW w:w="1507" w:type="dxa"/>
            <w:shd w:val="clear" w:color="auto" w:fill="BFBFBF" w:themeFill="background1" w:themeFillShade="BF"/>
            <w:vAlign w:val="center"/>
          </w:tcPr>
          <w:p w14:paraId="13403E64" w14:textId="017FE5E7" w:rsidR="00FC063A" w:rsidRPr="00FC063A" w:rsidRDefault="00FC063A" w:rsidP="00FC063A">
            <w:pPr>
              <w:pStyle w:val="ListParagraph"/>
              <w:ind w:left="0"/>
              <w:jc w:val="center"/>
              <w:rPr>
                <w:b/>
                <w:bCs/>
                <w:sz w:val="22"/>
              </w:rPr>
            </w:pPr>
            <w:r w:rsidRPr="00FC063A">
              <w:rPr>
                <w:b/>
                <w:bCs/>
                <w:color w:val="000000"/>
                <w:sz w:val="22"/>
              </w:rPr>
              <w:t>10,753</w:t>
            </w:r>
          </w:p>
        </w:tc>
      </w:tr>
      <w:tr w:rsidR="00FC063A" w14:paraId="2D3F59DD" w14:textId="77777777" w:rsidTr="00F6159B">
        <w:trPr>
          <w:trHeight w:val="288"/>
        </w:trPr>
        <w:tc>
          <w:tcPr>
            <w:tcW w:w="3322" w:type="dxa"/>
            <w:gridSpan w:val="2"/>
            <w:shd w:val="clear" w:color="auto" w:fill="BFBFBF" w:themeFill="background1" w:themeFillShade="BF"/>
            <w:vAlign w:val="center"/>
          </w:tcPr>
          <w:p w14:paraId="2D1DC349" w14:textId="3B18A0FC" w:rsidR="00FC063A" w:rsidRPr="00FC063A" w:rsidRDefault="00FC063A" w:rsidP="00FC063A">
            <w:pPr>
              <w:pStyle w:val="ListParagraph"/>
              <w:ind w:left="0"/>
              <w:jc w:val="center"/>
              <w:rPr>
                <w:b/>
                <w:bCs/>
                <w:sz w:val="22"/>
              </w:rPr>
            </w:pPr>
            <w:r w:rsidRPr="00FC063A">
              <w:rPr>
                <w:b/>
                <w:bCs/>
                <w:sz w:val="22"/>
              </w:rPr>
              <w:t>Average</w:t>
            </w:r>
          </w:p>
        </w:tc>
        <w:tc>
          <w:tcPr>
            <w:tcW w:w="1507" w:type="dxa"/>
            <w:shd w:val="clear" w:color="auto" w:fill="BFBFBF" w:themeFill="background1" w:themeFillShade="BF"/>
            <w:vAlign w:val="center"/>
          </w:tcPr>
          <w:p w14:paraId="69D9984A" w14:textId="5B95F332" w:rsidR="00FC063A" w:rsidRPr="00FC063A" w:rsidRDefault="0046745E" w:rsidP="00FC063A">
            <w:pPr>
              <w:pStyle w:val="ListParagraph"/>
              <w:ind w:left="0"/>
              <w:jc w:val="center"/>
              <w:rPr>
                <w:b/>
                <w:bCs/>
                <w:sz w:val="22"/>
              </w:rPr>
            </w:pPr>
            <w:r>
              <w:rPr>
                <w:b/>
                <w:bCs/>
                <w:color w:val="000000"/>
                <w:sz w:val="22"/>
              </w:rPr>
              <w:t>932</w:t>
            </w:r>
          </w:p>
        </w:tc>
        <w:tc>
          <w:tcPr>
            <w:tcW w:w="1507" w:type="dxa"/>
            <w:shd w:val="clear" w:color="auto" w:fill="BFBFBF" w:themeFill="background1" w:themeFillShade="BF"/>
            <w:vAlign w:val="center"/>
          </w:tcPr>
          <w:p w14:paraId="4E3A960E" w14:textId="4DD64953" w:rsidR="00FC063A" w:rsidRPr="00FC063A" w:rsidRDefault="0046745E" w:rsidP="00FC063A">
            <w:pPr>
              <w:pStyle w:val="ListParagraph"/>
              <w:ind w:left="0"/>
              <w:jc w:val="center"/>
              <w:rPr>
                <w:b/>
                <w:bCs/>
                <w:sz w:val="22"/>
              </w:rPr>
            </w:pPr>
            <w:r>
              <w:rPr>
                <w:b/>
                <w:bCs/>
                <w:sz w:val="22"/>
              </w:rPr>
              <w:t>211</w:t>
            </w:r>
          </w:p>
        </w:tc>
        <w:tc>
          <w:tcPr>
            <w:tcW w:w="1507" w:type="dxa"/>
            <w:shd w:val="clear" w:color="auto" w:fill="BFBFBF" w:themeFill="background1" w:themeFillShade="BF"/>
            <w:vAlign w:val="center"/>
          </w:tcPr>
          <w:p w14:paraId="5BB447BE" w14:textId="6C7FF0EF" w:rsidR="00FC063A" w:rsidRPr="00FC063A" w:rsidRDefault="0046745E" w:rsidP="00FC063A">
            <w:pPr>
              <w:pStyle w:val="ListParagraph"/>
              <w:ind w:left="0"/>
              <w:jc w:val="center"/>
              <w:rPr>
                <w:b/>
                <w:bCs/>
                <w:sz w:val="22"/>
              </w:rPr>
            </w:pPr>
            <w:r>
              <w:rPr>
                <w:b/>
                <w:bCs/>
                <w:sz w:val="22"/>
              </w:rPr>
              <w:t>393</w:t>
            </w:r>
          </w:p>
        </w:tc>
        <w:tc>
          <w:tcPr>
            <w:tcW w:w="1507" w:type="dxa"/>
            <w:shd w:val="clear" w:color="auto" w:fill="BFBFBF" w:themeFill="background1" w:themeFillShade="BF"/>
            <w:vAlign w:val="center"/>
          </w:tcPr>
          <w:p w14:paraId="2E311D57" w14:textId="6E7A7537" w:rsidR="00FC063A" w:rsidRPr="00FC063A" w:rsidRDefault="0046745E" w:rsidP="00FC063A">
            <w:pPr>
              <w:pStyle w:val="ListParagraph"/>
              <w:ind w:left="0"/>
              <w:jc w:val="center"/>
              <w:rPr>
                <w:b/>
                <w:bCs/>
                <w:sz w:val="22"/>
              </w:rPr>
            </w:pPr>
            <w:r>
              <w:rPr>
                <w:b/>
                <w:bCs/>
                <w:sz w:val="22"/>
              </w:rPr>
              <w:t>1,536</w:t>
            </w:r>
          </w:p>
        </w:tc>
      </w:tr>
    </w:tbl>
    <w:p w14:paraId="1C6E59E7" w14:textId="77777777" w:rsidR="00396DA9" w:rsidRDefault="00396DA9" w:rsidP="00354C75"/>
    <w:p w14:paraId="45F28DC8" w14:textId="3A44387E" w:rsidR="00A17254" w:rsidRDefault="00A17254" w:rsidP="00354C75">
      <w:pPr>
        <w:rPr>
          <w:szCs w:val="24"/>
        </w:rPr>
      </w:pPr>
      <w:r>
        <w:rPr>
          <w:szCs w:val="24"/>
        </w:rPr>
        <w:t xml:space="preserve">Accretions billed in 2013 included those resulting from recharge operations in 2011 and 2012.  </w:t>
      </w:r>
      <w:r w:rsidR="0097119F">
        <w:rPr>
          <w:szCs w:val="24"/>
        </w:rPr>
        <w:t>N</w:t>
      </w:r>
      <w:r>
        <w:rPr>
          <w:szCs w:val="24"/>
        </w:rPr>
        <w:t>o additional water was diverted for recharge in 2018 and 2019.  Billings for those years were based on CPNRD’s 2017 analysis spreadsheets, which included calculations of accretions in future years from recharge that occurred from 2011-2017.</w:t>
      </w:r>
    </w:p>
    <w:p w14:paraId="15D2F06C" w14:textId="77777777" w:rsidR="00A17254" w:rsidRDefault="00A17254" w:rsidP="00354C75">
      <w:pPr>
        <w:rPr>
          <w:szCs w:val="24"/>
        </w:rPr>
      </w:pPr>
    </w:p>
    <w:p w14:paraId="40CDC0BF" w14:textId="2C9CA1D1" w:rsidR="00F6159B" w:rsidRDefault="00BB3878" w:rsidP="00494FEF">
      <w:pPr>
        <w:pStyle w:val="ListParagraph"/>
        <w:ind w:left="0"/>
        <w:rPr>
          <w:szCs w:val="24"/>
        </w:rPr>
      </w:pPr>
      <w:r>
        <w:rPr>
          <w:szCs w:val="24"/>
        </w:rPr>
        <w:lastRenderedPageBreak/>
        <w:t xml:space="preserve">Table </w:t>
      </w:r>
      <w:r w:rsidR="00A44AA9">
        <w:rPr>
          <w:szCs w:val="24"/>
        </w:rPr>
        <w:t>9</w:t>
      </w:r>
      <w:r>
        <w:rPr>
          <w:szCs w:val="24"/>
        </w:rPr>
        <w:t xml:space="preserve"> </w:t>
      </w:r>
      <w:r w:rsidR="00A17254">
        <w:rPr>
          <w:szCs w:val="24"/>
        </w:rPr>
        <w:t xml:space="preserve">also </w:t>
      </w:r>
      <w:r>
        <w:rPr>
          <w:szCs w:val="24"/>
        </w:rPr>
        <w:t xml:space="preserve">corrects or clarifies a few issues with the corresponding table in the </w:t>
      </w:r>
      <w:r w:rsidR="005D3616">
        <w:rPr>
          <w:szCs w:val="24"/>
        </w:rPr>
        <w:t>previous</w:t>
      </w:r>
      <w:r>
        <w:rPr>
          <w:szCs w:val="24"/>
        </w:rPr>
        <w:t xml:space="preserve"> water projects accounting memo:</w:t>
      </w:r>
    </w:p>
    <w:p w14:paraId="063EF176" w14:textId="6AFA93D5" w:rsidR="00BB3878" w:rsidRDefault="00BB3878" w:rsidP="00494FEF">
      <w:pPr>
        <w:pStyle w:val="ListParagraph"/>
        <w:ind w:left="0"/>
        <w:rPr>
          <w:szCs w:val="24"/>
        </w:rPr>
      </w:pPr>
    </w:p>
    <w:p w14:paraId="2A064FBC" w14:textId="3B33371A" w:rsidR="00BB3878" w:rsidRDefault="00BB3878" w:rsidP="00BB3878">
      <w:pPr>
        <w:pStyle w:val="ListParagraph"/>
        <w:numPr>
          <w:ilvl w:val="0"/>
          <w:numId w:val="19"/>
        </w:numPr>
        <w:rPr>
          <w:szCs w:val="24"/>
        </w:rPr>
      </w:pPr>
      <w:r>
        <w:rPr>
          <w:szCs w:val="24"/>
        </w:rPr>
        <w:t xml:space="preserve">Documentation was found showing that the Program received only 50 percent of CPNRD accretions in 2014, not the full </w:t>
      </w:r>
      <w:r w:rsidR="00AC5422">
        <w:rPr>
          <w:szCs w:val="24"/>
        </w:rPr>
        <w:t>calculated volume</w:t>
      </w:r>
      <w:r>
        <w:rPr>
          <w:szCs w:val="24"/>
        </w:rPr>
        <w:t>.</w:t>
      </w:r>
    </w:p>
    <w:p w14:paraId="7444155C" w14:textId="7270D5A2" w:rsidR="00C953EB" w:rsidRDefault="00A17254" w:rsidP="00BB3878">
      <w:pPr>
        <w:pStyle w:val="ListParagraph"/>
        <w:numPr>
          <w:ilvl w:val="0"/>
          <w:numId w:val="19"/>
        </w:numPr>
        <w:rPr>
          <w:szCs w:val="24"/>
        </w:rPr>
      </w:pPr>
      <w:r>
        <w:rPr>
          <w:szCs w:val="24"/>
        </w:rPr>
        <w:t>CPNRD’s</w:t>
      </w:r>
      <w:r w:rsidR="00C953EB">
        <w:rPr>
          <w:szCs w:val="24"/>
        </w:rPr>
        <w:t xml:space="preserve"> 2017 analysis for Thirty Mile included both the correction of a calculation error that originated in the 2013 data and the inclusion of additional recharge in </w:t>
      </w:r>
      <w:r w:rsidR="00482E65">
        <w:rPr>
          <w:szCs w:val="24"/>
        </w:rPr>
        <w:t>late</w:t>
      </w:r>
      <w:r w:rsidR="00C953EB">
        <w:rPr>
          <w:szCs w:val="24"/>
        </w:rPr>
        <w:t xml:space="preserve"> 2016.  The net result of these changes was a +38 AF adjustment.</w:t>
      </w:r>
      <w:r w:rsidR="00831C87">
        <w:rPr>
          <w:szCs w:val="24"/>
        </w:rPr>
        <w:t xml:space="preserve">  However, it should be noted that these adjustments to Thirty Mile accretions at the time of invoicing in 2017 did not account for the fact that the Program was only billed for 50 percent of accretions in 2014.</w:t>
      </w:r>
    </w:p>
    <w:p w14:paraId="66462A2E" w14:textId="4B7FC454" w:rsidR="00C953EB" w:rsidRDefault="00A17254" w:rsidP="00BB3878">
      <w:pPr>
        <w:pStyle w:val="ListParagraph"/>
        <w:numPr>
          <w:ilvl w:val="0"/>
          <w:numId w:val="19"/>
        </w:numPr>
        <w:rPr>
          <w:szCs w:val="24"/>
        </w:rPr>
      </w:pPr>
      <w:r>
        <w:rPr>
          <w:szCs w:val="24"/>
        </w:rPr>
        <w:t>CPNRD’s</w:t>
      </w:r>
      <w:r w:rsidR="005D3616">
        <w:rPr>
          <w:szCs w:val="24"/>
        </w:rPr>
        <w:t xml:space="preserve"> 2017 analysis for Orchard-Alfalfa included adjustments to </w:t>
      </w:r>
      <w:r w:rsidR="00B6696C">
        <w:rPr>
          <w:szCs w:val="24"/>
        </w:rPr>
        <w:t xml:space="preserve">calculated </w:t>
      </w:r>
      <w:r w:rsidR="005D3616">
        <w:rPr>
          <w:szCs w:val="24"/>
        </w:rPr>
        <w:t>return</w:t>
      </w:r>
      <w:r>
        <w:rPr>
          <w:szCs w:val="24"/>
        </w:rPr>
        <w:t xml:space="preserve"> flows</w:t>
      </w:r>
      <w:r w:rsidR="005D3616">
        <w:rPr>
          <w:szCs w:val="24"/>
        </w:rPr>
        <w:t xml:space="preserve"> for both 2015 and 2016.</w:t>
      </w:r>
    </w:p>
    <w:p w14:paraId="13A8BC4A" w14:textId="77777777" w:rsidR="00F6159B" w:rsidRDefault="00F6159B" w:rsidP="00494FEF">
      <w:pPr>
        <w:pStyle w:val="ListParagraph"/>
        <w:ind w:left="0"/>
        <w:rPr>
          <w:szCs w:val="24"/>
        </w:rPr>
      </w:pPr>
    </w:p>
    <w:p w14:paraId="19A3779B" w14:textId="3175B8BB" w:rsidR="00460643" w:rsidRDefault="00460643" w:rsidP="00494FEF">
      <w:pPr>
        <w:pStyle w:val="ListParagraph"/>
        <w:ind w:left="0"/>
        <w:rPr>
          <w:szCs w:val="24"/>
        </w:rPr>
      </w:pPr>
      <w:r>
        <w:rPr>
          <w:szCs w:val="24"/>
        </w:rPr>
        <w:t>Using the Cozad Canal as an illustrative water accounting example, Attachment A to the water lease agreement between the Program and CPNRD described the procedures for calculating the return flows from groundwater recharge that were billed to the Program:</w:t>
      </w:r>
    </w:p>
    <w:p w14:paraId="58740311" w14:textId="4B2618E2" w:rsidR="00460643" w:rsidRDefault="00460643" w:rsidP="00494FEF">
      <w:pPr>
        <w:pStyle w:val="ListParagraph"/>
        <w:ind w:left="0"/>
        <w:rPr>
          <w:szCs w:val="24"/>
        </w:rPr>
      </w:pPr>
    </w:p>
    <w:p w14:paraId="0F956B4C" w14:textId="3EC448B4" w:rsidR="00460643" w:rsidRDefault="00460643" w:rsidP="003F525F">
      <w:pPr>
        <w:pStyle w:val="ListParagraph"/>
        <w:rPr>
          <w:szCs w:val="24"/>
        </w:rPr>
      </w:pPr>
      <w:r>
        <w:rPr>
          <w:szCs w:val="24"/>
        </w:rPr>
        <w:t xml:space="preserve">There is an excess flow diversion worksheet for each year…In these worksheets daily diversions are converted to monthly volumes of recharge which are distributed for each mile of </w:t>
      </w:r>
      <w:r w:rsidR="00047E79">
        <w:rPr>
          <w:szCs w:val="24"/>
        </w:rPr>
        <w:t>canal by month and then the monthly recharge from each mile of canal gets distributed as base flow return to the Platte River using a groundwater return flow function.</w:t>
      </w:r>
    </w:p>
    <w:p w14:paraId="68760B9E" w14:textId="77777777" w:rsidR="00460643" w:rsidRDefault="00460643" w:rsidP="00494FEF">
      <w:pPr>
        <w:pStyle w:val="ListParagraph"/>
        <w:ind w:left="0"/>
        <w:rPr>
          <w:szCs w:val="24"/>
        </w:rPr>
      </w:pPr>
    </w:p>
    <w:p w14:paraId="03E2D1EF" w14:textId="6074924B" w:rsidR="00047E79" w:rsidRDefault="00460643" w:rsidP="003F525F">
      <w:pPr>
        <w:pStyle w:val="ListParagraph"/>
        <w:rPr>
          <w:szCs w:val="24"/>
        </w:rPr>
      </w:pPr>
      <w:r>
        <w:rPr>
          <w:szCs w:val="24"/>
        </w:rPr>
        <w:t>There is a worksheet</w:t>
      </w:r>
      <w:r w:rsidR="00047E79">
        <w:rPr>
          <w:szCs w:val="24"/>
        </w:rPr>
        <w:t>…</w:t>
      </w:r>
      <w:r>
        <w:rPr>
          <w:szCs w:val="24"/>
        </w:rPr>
        <w:t>that contains the percentage of canal seepage distributed in</w:t>
      </w:r>
      <w:r w:rsidR="00047E79">
        <w:rPr>
          <w:szCs w:val="24"/>
        </w:rPr>
        <w:t xml:space="preserve"> each mile of canal.  This worksheet also contains the </w:t>
      </w:r>
      <w:proofErr w:type="gramStart"/>
      <w:r w:rsidR="00047E79">
        <w:rPr>
          <w:szCs w:val="24"/>
        </w:rPr>
        <w:t>600 month</w:t>
      </w:r>
      <w:proofErr w:type="gramEnd"/>
      <w:r w:rsidR="00047E79">
        <w:rPr>
          <w:szCs w:val="24"/>
        </w:rPr>
        <w:t xml:space="preserve"> groundwater return flow functions for the 17 canal reaches.  The canal seepage distribution was developed from information collected during the Cozad Canal seepage loss study in August 2008…The groundwater </w:t>
      </w:r>
      <w:proofErr w:type="gramStart"/>
      <w:r w:rsidR="00047E79">
        <w:rPr>
          <w:szCs w:val="24"/>
        </w:rPr>
        <w:t>return</w:t>
      </w:r>
      <w:proofErr w:type="gramEnd"/>
      <w:r w:rsidR="00047E79">
        <w:rPr>
          <w:szCs w:val="24"/>
        </w:rPr>
        <w:t xml:space="preserve"> flow function for each 1 mile canal reach was develop[ed] from the COHYST Eastern Model unit runs made with the cycle well program.</w:t>
      </w:r>
      <w:r w:rsidR="003F525F">
        <w:rPr>
          <w:szCs w:val="24"/>
        </w:rPr>
        <w:t xml:space="preserve">  A cycle well run was made for model cell[s] within the CPNRD and these runs have been used to establish depletion functions and groundwater return flow functions for the Platte River and [its] tributaries…Five functions were developed for this example analysis and assigned to the 17 miles of [Cozad] canal.  </w:t>
      </w:r>
      <w:r w:rsidR="00047E79">
        <w:rPr>
          <w:szCs w:val="24"/>
        </w:rPr>
        <w:t xml:space="preserve">  </w:t>
      </w:r>
    </w:p>
    <w:p w14:paraId="719F9FB4" w14:textId="77777777" w:rsidR="00047E79" w:rsidRDefault="00047E79" w:rsidP="00494FEF">
      <w:pPr>
        <w:pStyle w:val="ListParagraph"/>
        <w:ind w:left="0"/>
        <w:rPr>
          <w:szCs w:val="24"/>
        </w:rPr>
      </w:pPr>
    </w:p>
    <w:p w14:paraId="2E8DEECC" w14:textId="1C9E643E" w:rsidR="00354C75" w:rsidRDefault="00A44AA9" w:rsidP="009B1A1C">
      <w:pPr>
        <w:pStyle w:val="ListParagraph"/>
        <w:ind w:left="0"/>
        <w:rPr>
          <w:b/>
          <w:bCs/>
          <w:sz w:val="22"/>
        </w:rPr>
      </w:pPr>
      <w:r>
        <w:rPr>
          <w:szCs w:val="24"/>
        </w:rPr>
        <w:t>T</w:t>
      </w:r>
      <w:r w:rsidR="000669BD">
        <w:rPr>
          <w:szCs w:val="24"/>
        </w:rPr>
        <w:t xml:space="preserve">he EDO determined that CPNRD’s recharge analysis spreadsheets included sufficient data to assess and report the timing and volumes of both measured recharge diversions and calculated accretions for the three individual canals. With this information, the collective accretions could then be routed to Grand Island to determine the contribution of the CPNRD canal recharge project to target flow deficit reductions.  </w:t>
      </w:r>
      <w:r w:rsidR="000669BD" w:rsidRPr="000669BD">
        <w:rPr>
          <w:b/>
          <w:bCs/>
          <w:szCs w:val="24"/>
        </w:rPr>
        <w:t xml:space="preserve">Table </w:t>
      </w:r>
      <w:r>
        <w:rPr>
          <w:b/>
          <w:bCs/>
          <w:szCs w:val="24"/>
        </w:rPr>
        <w:t>10</w:t>
      </w:r>
      <w:r w:rsidR="000669BD">
        <w:rPr>
          <w:szCs w:val="24"/>
        </w:rPr>
        <w:t xml:space="preserve"> shows the volumes of canal recharge after reconciling CPNRD’s invoice documentation and analysis spreadsheets.</w:t>
      </w:r>
      <w:r w:rsidR="00A13488">
        <w:rPr>
          <w:szCs w:val="24"/>
        </w:rPr>
        <w:t xml:space="preserve">  Recharge in 2011 and 2012 occurred prior to the agreement for the Program to lease the resulting accretions, but lagged accretions from those years contributed to the volumes billed to the Program from 2013-2019.</w:t>
      </w:r>
      <w:r w:rsidR="00354C75">
        <w:rPr>
          <w:b/>
          <w:bCs/>
          <w:sz w:val="22"/>
        </w:rPr>
        <w:br w:type="page"/>
      </w:r>
    </w:p>
    <w:p w14:paraId="5C6F9782" w14:textId="5E4F982D" w:rsidR="00F871D9" w:rsidRPr="00F347CB" w:rsidRDefault="00F871D9" w:rsidP="00494FEF">
      <w:pPr>
        <w:pStyle w:val="ListParagraph"/>
        <w:ind w:left="0"/>
        <w:rPr>
          <w:b/>
          <w:bCs/>
          <w:sz w:val="22"/>
        </w:rPr>
      </w:pPr>
      <w:r w:rsidRPr="00F347CB">
        <w:rPr>
          <w:b/>
          <w:bCs/>
          <w:sz w:val="22"/>
        </w:rPr>
        <w:lastRenderedPageBreak/>
        <w:t xml:space="preserve">Table </w:t>
      </w:r>
      <w:r w:rsidR="00A44AA9">
        <w:rPr>
          <w:b/>
          <w:bCs/>
          <w:sz w:val="22"/>
        </w:rPr>
        <w:t>10</w:t>
      </w:r>
      <w:r w:rsidRPr="00F347CB">
        <w:rPr>
          <w:b/>
          <w:bCs/>
          <w:sz w:val="22"/>
        </w:rPr>
        <w:t>.  CPNRD Canal Recharge, 2011-2019</w:t>
      </w:r>
    </w:p>
    <w:tbl>
      <w:tblPr>
        <w:tblStyle w:val="TableGrid"/>
        <w:tblW w:w="0" w:type="auto"/>
        <w:tblLook w:val="04A0" w:firstRow="1" w:lastRow="0" w:firstColumn="1" w:lastColumn="0" w:noHBand="0" w:noVBand="1"/>
      </w:tblPr>
      <w:tblGrid>
        <w:gridCol w:w="1870"/>
        <w:gridCol w:w="1870"/>
        <w:gridCol w:w="1870"/>
        <w:gridCol w:w="1870"/>
        <w:gridCol w:w="1870"/>
      </w:tblGrid>
      <w:tr w:rsidR="00F871D9" w14:paraId="7B5337AE" w14:textId="77777777" w:rsidTr="00A44AA9">
        <w:tc>
          <w:tcPr>
            <w:tcW w:w="1870" w:type="dxa"/>
            <w:shd w:val="clear" w:color="auto" w:fill="C2D69B" w:themeFill="accent3" w:themeFillTint="99"/>
            <w:vAlign w:val="bottom"/>
          </w:tcPr>
          <w:p w14:paraId="46D71461" w14:textId="255BB6F0" w:rsidR="00F871D9" w:rsidRPr="00D27A1E" w:rsidRDefault="00F871D9" w:rsidP="00F347CB">
            <w:pPr>
              <w:pStyle w:val="ListParagraph"/>
              <w:ind w:left="0"/>
              <w:jc w:val="center"/>
              <w:rPr>
                <w:b/>
                <w:bCs/>
                <w:sz w:val="22"/>
              </w:rPr>
            </w:pPr>
            <w:r w:rsidRPr="00D27A1E">
              <w:rPr>
                <w:b/>
                <w:bCs/>
                <w:sz w:val="22"/>
              </w:rPr>
              <w:t>Year</w:t>
            </w:r>
          </w:p>
        </w:tc>
        <w:tc>
          <w:tcPr>
            <w:tcW w:w="1870" w:type="dxa"/>
            <w:shd w:val="clear" w:color="auto" w:fill="C2D69B" w:themeFill="accent3" w:themeFillTint="99"/>
            <w:vAlign w:val="bottom"/>
          </w:tcPr>
          <w:p w14:paraId="369E5F9B" w14:textId="77777777" w:rsidR="00F871D9" w:rsidRPr="00D27A1E" w:rsidRDefault="00F871D9" w:rsidP="00F347CB">
            <w:pPr>
              <w:pStyle w:val="ListParagraph"/>
              <w:ind w:left="0"/>
              <w:jc w:val="center"/>
              <w:rPr>
                <w:b/>
                <w:bCs/>
                <w:sz w:val="22"/>
              </w:rPr>
            </w:pPr>
            <w:r w:rsidRPr="00D27A1E">
              <w:rPr>
                <w:b/>
                <w:bCs/>
                <w:sz w:val="22"/>
              </w:rPr>
              <w:t>Thirty Mile</w:t>
            </w:r>
          </w:p>
          <w:p w14:paraId="4435A38E" w14:textId="2665929E" w:rsidR="00F871D9" w:rsidRPr="00D27A1E" w:rsidRDefault="00F871D9" w:rsidP="00F347CB">
            <w:pPr>
              <w:pStyle w:val="ListParagraph"/>
              <w:ind w:left="0"/>
              <w:jc w:val="center"/>
              <w:rPr>
                <w:b/>
                <w:bCs/>
                <w:sz w:val="22"/>
              </w:rPr>
            </w:pPr>
            <w:r w:rsidRPr="00D27A1E">
              <w:rPr>
                <w:b/>
                <w:bCs/>
                <w:sz w:val="22"/>
              </w:rPr>
              <w:t>(AF)</w:t>
            </w:r>
          </w:p>
        </w:tc>
        <w:tc>
          <w:tcPr>
            <w:tcW w:w="1870" w:type="dxa"/>
            <w:shd w:val="clear" w:color="auto" w:fill="C2D69B" w:themeFill="accent3" w:themeFillTint="99"/>
            <w:vAlign w:val="bottom"/>
          </w:tcPr>
          <w:p w14:paraId="14F5D084" w14:textId="77777777" w:rsidR="00F871D9" w:rsidRPr="00D27A1E" w:rsidRDefault="00F871D9" w:rsidP="00F347CB">
            <w:pPr>
              <w:pStyle w:val="ListParagraph"/>
              <w:ind w:left="0"/>
              <w:jc w:val="center"/>
              <w:rPr>
                <w:b/>
                <w:bCs/>
                <w:sz w:val="22"/>
              </w:rPr>
            </w:pPr>
            <w:r w:rsidRPr="00D27A1E">
              <w:rPr>
                <w:b/>
                <w:bCs/>
                <w:sz w:val="22"/>
              </w:rPr>
              <w:t>Cozad</w:t>
            </w:r>
          </w:p>
          <w:p w14:paraId="58D06204" w14:textId="36E89DAD" w:rsidR="00F871D9" w:rsidRPr="00D27A1E" w:rsidRDefault="00F871D9" w:rsidP="00F347CB">
            <w:pPr>
              <w:pStyle w:val="ListParagraph"/>
              <w:ind w:left="0"/>
              <w:jc w:val="center"/>
              <w:rPr>
                <w:b/>
                <w:bCs/>
                <w:sz w:val="22"/>
              </w:rPr>
            </w:pPr>
            <w:r w:rsidRPr="00D27A1E">
              <w:rPr>
                <w:b/>
                <w:bCs/>
                <w:sz w:val="22"/>
              </w:rPr>
              <w:t>(AF)</w:t>
            </w:r>
          </w:p>
        </w:tc>
        <w:tc>
          <w:tcPr>
            <w:tcW w:w="1870" w:type="dxa"/>
            <w:shd w:val="clear" w:color="auto" w:fill="C2D69B" w:themeFill="accent3" w:themeFillTint="99"/>
            <w:vAlign w:val="bottom"/>
          </w:tcPr>
          <w:p w14:paraId="4D4D0EB7" w14:textId="5B4B8A48" w:rsidR="00F871D9" w:rsidRPr="00D27A1E" w:rsidRDefault="00F871D9" w:rsidP="00F347CB">
            <w:pPr>
              <w:pStyle w:val="ListParagraph"/>
              <w:ind w:left="0"/>
              <w:jc w:val="center"/>
              <w:rPr>
                <w:b/>
                <w:bCs/>
                <w:sz w:val="22"/>
              </w:rPr>
            </w:pPr>
            <w:r w:rsidRPr="00D27A1E">
              <w:rPr>
                <w:b/>
                <w:bCs/>
                <w:sz w:val="22"/>
              </w:rPr>
              <w:t>Orchard-Alfalfa (AF)</w:t>
            </w:r>
          </w:p>
        </w:tc>
        <w:tc>
          <w:tcPr>
            <w:tcW w:w="1870" w:type="dxa"/>
            <w:shd w:val="clear" w:color="auto" w:fill="C2D69B" w:themeFill="accent3" w:themeFillTint="99"/>
            <w:vAlign w:val="bottom"/>
          </w:tcPr>
          <w:p w14:paraId="3A7BEE72" w14:textId="7A9D9D15" w:rsidR="00F871D9" w:rsidRPr="00D27A1E" w:rsidRDefault="00760FA5" w:rsidP="00F347CB">
            <w:pPr>
              <w:pStyle w:val="ListParagraph"/>
              <w:ind w:left="0"/>
              <w:jc w:val="center"/>
              <w:rPr>
                <w:b/>
                <w:bCs/>
                <w:sz w:val="22"/>
              </w:rPr>
            </w:pPr>
            <w:r>
              <w:rPr>
                <w:b/>
                <w:bCs/>
                <w:sz w:val="22"/>
              </w:rPr>
              <w:t xml:space="preserve">CPNRD </w:t>
            </w:r>
            <w:r w:rsidR="00F871D9" w:rsidRPr="00D27A1E">
              <w:rPr>
                <w:b/>
                <w:bCs/>
                <w:sz w:val="22"/>
              </w:rPr>
              <w:t>Total</w:t>
            </w:r>
          </w:p>
          <w:p w14:paraId="203A6577" w14:textId="6E562647" w:rsidR="00F871D9" w:rsidRPr="00D27A1E" w:rsidRDefault="00F871D9" w:rsidP="00F347CB">
            <w:pPr>
              <w:pStyle w:val="ListParagraph"/>
              <w:ind w:left="0"/>
              <w:jc w:val="center"/>
              <w:rPr>
                <w:b/>
                <w:bCs/>
                <w:sz w:val="22"/>
              </w:rPr>
            </w:pPr>
            <w:r w:rsidRPr="00D27A1E">
              <w:rPr>
                <w:b/>
                <w:bCs/>
                <w:sz w:val="22"/>
              </w:rPr>
              <w:t>(AF)</w:t>
            </w:r>
          </w:p>
        </w:tc>
      </w:tr>
      <w:tr w:rsidR="00F871D9" w14:paraId="18532DFE" w14:textId="77777777" w:rsidTr="00A44AA9">
        <w:trPr>
          <w:trHeight w:val="288"/>
        </w:trPr>
        <w:tc>
          <w:tcPr>
            <w:tcW w:w="1870" w:type="dxa"/>
            <w:vAlign w:val="center"/>
          </w:tcPr>
          <w:p w14:paraId="428C09EB" w14:textId="1F198D26" w:rsidR="00F871D9" w:rsidRPr="00D27A1E" w:rsidRDefault="00F871D9" w:rsidP="00F871D9">
            <w:pPr>
              <w:pStyle w:val="ListParagraph"/>
              <w:ind w:left="0"/>
              <w:jc w:val="center"/>
              <w:rPr>
                <w:sz w:val="22"/>
              </w:rPr>
            </w:pPr>
            <w:r w:rsidRPr="00D27A1E">
              <w:rPr>
                <w:color w:val="000000"/>
                <w:sz w:val="22"/>
              </w:rPr>
              <w:t>2011</w:t>
            </w:r>
          </w:p>
        </w:tc>
        <w:tc>
          <w:tcPr>
            <w:tcW w:w="1870" w:type="dxa"/>
            <w:vAlign w:val="center"/>
          </w:tcPr>
          <w:p w14:paraId="11655204" w14:textId="3248B309" w:rsidR="00F871D9" w:rsidRPr="00D27A1E" w:rsidRDefault="00F871D9" w:rsidP="00F871D9">
            <w:pPr>
              <w:pStyle w:val="ListParagraph"/>
              <w:ind w:left="0"/>
              <w:jc w:val="center"/>
              <w:rPr>
                <w:sz w:val="22"/>
              </w:rPr>
            </w:pPr>
            <w:r w:rsidRPr="00D27A1E">
              <w:rPr>
                <w:color w:val="000000"/>
                <w:sz w:val="22"/>
              </w:rPr>
              <w:t>5,716</w:t>
            </w:r>
          </w:p>
        </w:tc>
        <w:tc>
          <w:tcPr>
            <w:tcW w:w="1870" w:type="dxa"/>
            <w:vAlign w:val="center"/>
          </w:tcPr>
          <w:p w14:paraId="77082E87" w14:textId="2A093E02" w:rsidR="00F871D9" w:rsidRPr="00D27A1E" w:rsidRDefault="00F871D9" w:rsidP="00F871D9">
            <w:pPr>
              <w:pStyle w:val="ListParagraph"/>
              <w:ind w:left="0"/>
              <w:jc w:val="center"/>
              <w:rPr>
                <w:sz w:val="22"/>
              </w:rPr>
            </w:pPr>
            <w:r w:rsidRPr="00D27A1E">
              <w:rPr>
                <w:color w:val="000000"/>
                <w:sz w:val="22"/>
              </w:rPr>
              <w:t>3,219</w:t>
            </w:r>
          </w:p>
        </w:tc>
        <w:tc>
          <w:tcPr>
            <w:tcW w:w="1870" w:type="dxa"/>
            <w:vAlign w:val="center"/>
          </w:tcPr>
          <w:p w14:paraId="0FEDF166" w14:textId="3F9C8F1E" w:rsidR="00F871D9" w:rsidRPr="00D27A1E" w:rsidRDefault="00F871D9" w:rsidP="00F871D9">
            <w:pPr>
              <w:pStyle w:val="ListParagraph"/>
              <w:ind w:left="0"/>
              <w:jc w:val="center"/>
              <w:rPr>
                <w:sz w:val="22"/>
              </w:rPr>
            </w:pPr>
            <w:r w:rsidRPr="00D27A1E">
              <w:rPr>
                <w:color w:val="000000"/>
                <w:sz w:val="22"/>
              </w:rPr>
              <w:t>2,471</w:t>
            </w:r>
          </w:p>
        </w:tc>
        <w:tc>
          <w:tcPr>
            <w:tcW w:w="1870" w:type="dxa"/>
            <w:vAlign w:val="center"/>
          </w:tcPr>
          <w:p w14:paraId="36528F60" w14:textId="742B5B2B" w:rsidR="00F871D9" w:rsidRPr="00D27A1E" w:rsidRDefault="00F871D9" w:rsidP="00F871D9">
            <w:pPr>
              <w:pStyle w:val="ListParagraph"/>
              <w:ind w:left="0"/>
              <w:jc w:val="center"/>
              <w:rPr>
                <w:sz w:val="22"/>
              </w:rPr>
            </w:pPr>
            <w:r w:rsidRPr="00D27A1E">
              <w:rPr>
                <w:color w:val="000000"/>
                <w:sz w:val="22"/>
              </w:rPr>
              <w:t>11,406</w:t>
            </w:r>
          </w:p>
        </w:tc>
      </w:tr>
      <w:tr w:rsidR="00F871D9" w14:paraId="31ED1D91" w14:textId="77777777" w:rsidTr="00A44AA9">
        <w:trPr>
          <w:trHeight w:val="288"/>
        </w:trPr>
        <w:tc>
          <w:tcPr>
            <w:tcW w:w="1870" w:type="dxa"/>
            <w:vAlign w:val="center"/>
          </w:tcPr>
          <w:p w14:paraId="4A183420" w14:textId="3E5588B1" w:rsidR="00F871D9" w:rsidRPr="00D27A1E" w:rsidRDefault="00F871D9" w:rsidP="00F871D9">
            <w:pPr>
              <w:pStyle w:val="ListParagraph"/>
              <w:ind w:left="0"/>
              <w:jc w:val="center"/>
              <w:rPr>
                <w:sz w:val="22"/>
              </w:rPr>
            </w:pPr>
            <w:r w:rsidRPr="00D27A1E">
              <w:rPr>
                <w:color w:val="000000"/>
                <w:sz w:val="22"/>
              </w:rPr>
              <w:t>2012</w:t>
            </w:r>
          </w:p>
        </w:tc>
        <w:tc>
          <w:tcPr>
            <w:tcW w:w="1870" w:type="dxa"/>
            <w:vAlign w:val="center"/>
          </w:tcPr>
          <w:p w14:paraId="1D949B13" w14:textId="7269C2BE" w:rsidR="00F871D9" w:rsidRPr="00D27A1E" w:rsidRDefault="00F871D9" w:rsidP="00F871D9">
            <w:pPr>
              <w:pStyle w:val="ListParagraph"/>
              <w:ind w:left="0"/>
              <w:jc w:val="center"/>
              <w:rPr>
                <w:sz w:val="22"/>
              </w:rPr>
            </w:pPr>
            <w:r w:rsidRPr="00D27A1E">
              <w:rPr>
                <w:color w:val="000000"/>
                <w:sz w:val="22"/>
              </w:rPr>
              <w:t>0</w:t>
            </w:r>
          </w:p>
        </w:tc>
        <w:tc>
          <w:tcPr>
            <w:tcW w:w="1870" w:type="dxa"/>
            <w:vAlign w:val="center"/>
          </w:tcPr>
          <w:p w14:paraId="690DED82" w14:textId="5E60E80F" w:rsidR="00F871D9" w:rsidRPr="00D27A1E" w:rsidRDefault="00F871D9" w:rsidP="00F871D9">
            <w:pPr>
              <w:pStyle w:val="ListParagraph"/>
              <w:ind w:left="0"/>
              <w:jc w:val="center"/>
              <w:rPr>
                <w:sz w:val="22"/>
              </w:rPr>
            </w:pPr>
            <w:r w:rsidRPr="00D27A1E">
              <w:rPr>
                <w:color w:val="000000"/>
                <w:sz w:val="22"/>
              </w:rPr>
              <w:t>0</w:t>
            </w:r>
          </w:p>
        </w:tc>
        <w:tc>
          <w:tcPr>
            <w:tcW w:w="1870" w:type="dxa"/>
            <w:vAlign w:val="center"/>
          </w:tcPr>
          <w:p w14:paraId="565D8A9D" w14:textId="46B37D29" w:rsidR="00F871D9" w:rsidRPr="00D27A1E" w:rsidRDefault="00F871D9" w:rsidP="00F871D9">
            <w:pPr>
              <w:pStyle w:val="ListParagraph"/>
              <w:ind w:left="0"/>
              <w:jc w:val="center"/>
              <w:rPr>
                <w:sz w:val="22"/>
              </w:rPr>
            </w:pPr>
            <w:r w:rsidRPr="00D27A1E">
              <w:rPr>
                <w:color w:val="000000"/>
                <w:sz w:val="22"/>
              </w:rPr>
              <w:t>851</w:t>
            </w:r>
          </w:p>
        </w:tc>
        <w:tc>
          <w:tcPr>
            <w:tcW w:w="1870" w:type="dxa"/>
            <w:vAlign w:val="center"/>
          </w:tcPr>
          <w:p w14:paraId="5D9B8293" w14:textId="6ED57571" w:rsidR="00F871D9" w:rsidRPr="00D27A1E" w:rsidRDefault="00F871D9" w:rsidP="00F871D9">
            <w:pPr>
              <w:pStyle w:val="ListParagraph"/>
              <w:ind w:left="0"/>
              <w:jc w:val="center"/>
              <w:rPr>
                <w:sz w:val="22"/>
              </w:rPr>
            </w:pPr>
            <w:r w:rsidRPr="00D27A1E">
              <w:rPr>
                <w:color w:val="000000"/>
                <w:sz w:val="22"/>
              </w:rPr>
              <w:t>851</w:t>
            </w:r>
          </w:p>
        </w:tc>
      </w:tr>
      <w:tr w:rsidR="00F871D9" w14:paraId="171CC022" w14:textId="77777777" w:rsidTr="00A44AA9">
        <w:trPr>
          <w:trHeight w:val="288"/>
        </w:trPr>
        <w:tc>
          <w:tcPr>
            <w:tcW w:w="1870" w:type="dxa"/>
            <w:vAlign w:val="center"/>
          </w:tcPr>
          <w:p w14:paraId="7094072F" w14:textId="0E07714E" w:rsidR="00F871D9" w:rsidRPr="00D27A1E" w:rsidRDefault="00F871D9" w:rsidP="00F871D9">
            <w:pPr>
              <w:pStyle w:val="ListParagraph"/>
              <w:ind w:left="0"/>
              <w:jc w:val="center"/>
              <w:rPr>
                <w:sz w:val="22"/>
              </w:rPr>
            </w:pPr>
            <w:r w:rsidRPr="00D27A1E">
              <w:rPr>
                <w:color w:val="000000"/>
                <w:sz w:val="22"/>
              </w:rPr>
              <w:t>2013</w:t>
            </w:r>
          </w:p>
        </w:tc>
        <w:tc>
          <w:tcPr>
            <w:tcW w:w="1870" w:type="dxa"/>
            <w:vAlign w:val="center"/>
          </w:tcPr>
          <w:p w14:paraId="79E48929" w14:textId="4E927D8D" w:rsidR="00F871D9" w:rsidRPr="00D27A1E" w:rsidRDefault="00F871D9" w:rsidP="00F871D9">
            <w:pPr>
              <w:pStyle w:val="ListParagraph"/>
              <w:ind w:left="0"/>
              <w:jc w:val="center"/>
              <w:rPr>
                <w:sz w:val="22"/>
              </w:rPr>
            </w:pPr>
            <w:r w:rsidRPr="00D27A1E">
              <w:rPr>
                <w:color w:val="000000"/>
                <w:sz w:val="22"/>
              </w:rPr>
              <w:t>2,140</w:t>
            </w:r>
          </w:p>
        </w:tc>
        <w:tc>
          <w:tcPr>
            <w:tcW w:w="1870" w:type="dxa"/>
            <w:vAlign w:val="center"/>
          </w:tcPr>
          <w:p w14:paraId="4F6EEA19" w14:textId="64E7573F" w:rsidR="00F871D9" w:rsidRPr="00D27A1E" w:rsidRDefault="00F871D9" w:rsidP="00F871D9">
            <w:pPr>
              <w:pStyle w:val="ListParagraph"/>
              <w:ind w:left="0"/>
              <w:jc w:val="center"/>
              <w:rPr>
                <w:sz w:val="22"/>
              </w:rPr>
            </w:pPr>
            <w:r w:rsidRPr="00D27A1E">
              <w:rPr>
                <w:color w:val="000000"/>
                <w:sz w:val="22"/>
              </w:rPr>
              <w:t>0</w:t>
            </w:r>
          </w:p>
        </w:tc>
        <w:tc>
          <w:tcPr>
            <w:tcW w:w="1870" w:type="dxa"/>
            <w:vAlign w:val="center"/>
          </w:tcPr>
          <w:p w14:paraId="6D1792D4" w14:textId="1A0B019A" w:rsidR="00F871D9" w:rsidRPr="00D27A1E" w:rsidRDefault="00F871D9" w:rsidP="00F871D9">
            <w:pPr>
              <w:pStyle w:val="ListParagraph"/>
              <w:ind w:left="0"/>
              <w:jc w:val="center"/>
              <w:rPr>
                <w:sz w:val="22"/>
              </w:rPr>
            </w:pPr>
            <w:r w:rsidRPr="00D27A1E">
              <w:rPr>
                <w:color w:val="000000"/>
                <w:sz w:val="22"/>
              </w:rPr>
              <w:t>0</w:t>
            </w:r>
          </w:p>
        </w:tc>
        <w:tc>
          <w:tcPr>
            <w:tcW w:w="1870" w:type="dxa"/>
            <w:vAlign w:val="center"/>
          </w:tcPr>
          <w:p w14:paraId="3C68AF60" w14:textId="33493222" w:rsidR="00F871D9" w:rsidRPr="00D27A1E" w:rsidRDefault="00F871D9" w:rsidP="00F871D9">
            <w:pPr>
              <w:pStyle w:val="ListParagraph"/>
              <w:ind w:left="0"/>
              <w:jc w:val="center"/>
              <w:rPr>
                <w:sz w:val="22"/>
              </w:rPr>
            </w:pPr>
            <w:r w:rsidRPr="00D27A1E">
              <w:rPr>
                <w:color w:val="000000"/>
                <w:sz w:val="22"/>
              </w:rPr>
              <w:t>2,140</w:t>
            </w:r>
          </w:p>
        </w:tc>
      </w:tr>
      <w:tr w:rsidR="00F871D9" w14:paraId="139EE0FE" w14:textId="77777777" w:rsidTr="00A44AA9">
        <w:trPr>
          <w:trHeight w:val="288"/>
        </w:trPr>
        <w:tc>
          <w:tcPr>
            <w:tcW w:w="1870" w:type="dxa"/>
            <w:vAlign w:val="center"/>
          </w:tcPr>
          <w:p w14:paraId="45038C0D" w14:textId="1A151D3E" w:rsidR="00F871D9" w:rsidRPr="00D27A1E" w:rsidRDefault="00F871D9" w:rsidP="00F871D9">
            <w:pPr>
              <w:pStyle w:val="ListParagraph"/>
              <w:ind w:left="0"/>
              <w:jc w:val="center"/>
              <w:rPr>
                <w:sz w:val="22"/>
              </w:rPr>
            </w:pPr>
            <w:r w:rsidRPr="00D27A1E">
              <w:rPr>
                <w:color w:val="000000"/>
                <w:sz w:val="22"/>
              </w:rPr>
              <w:t>2014</w:t>
            </w:r>
          </w:p>
        </w:tc>
        <w:tc>
          <w:tcPr>
            <w:tcW w:w="1870" w:type="dxa"/>
            <w:vAlign w:val="center"/>
          </w:tcPr>
          <w:p w14:paraId="3420B54D" w14:textId="370F93AA" w:rsidR="00F871D9" w:rsidRPr="00D27A1E" w:rsidRDefault="00F871D9" w:rsidP="00F871D9">
            <w:pPr>
              <w:pStyle w:val="ListParagraph"/>
              <w:ind w:left="0"/>
              <w:jc w:val="center"/>
              <w:rPr>
                <w:sz w:val="22"/>
              </w:rPr>
            </w:pPr>
            <w:r w:rsidRPr="00D27A1E">
              <w:rPr>
                <w:color w:val="000000"/>
                <w:sz w:val="22"/>
              </w:rPr>
              <w:t>0</w:t>
            </w:r>
          </w:p>
        </w:tc>
        <w:tc>
          <w:tcPr>
            <w:tcW w:w="1870" w:type="dxa"/>
            <w:vAlign w:val="center"/>
          </w:tcPr>
          <w:p w14:paraId="65D817FF" w14:textId="6BA0A6D0" w:rsidR="00F871D9" w:rsidRPr="00D27A1E" w:rsidRDefault="00F871D9" w:rsidP="00F871D9">
            <w:pPr>
              <w:pStyle w:val="ListParagraph"/>
              <w:ind w:left="0"/>
              <w:jc w:val="center"/>
              <w:rPr>
                <w:sz w:val="22"/>
              </w:rPr>
            </w:pPr>
            <w:r w:rsidRPr="00D27A1E">
              <w:rPr>
                <w:color w:val="000000"/>
                <w:sz w:val="22"/>
              </w:rPr>
              <w:t>303</w:t>
            </w:r>
          </w:p>
        </w:tc>
        <w:tc>
          <w:tcPr>
            <w:tcW w:w="1870" w:type="dxa"/>
            <w:vAlign w:val="center"/>
          </w:tcPr>
          <w:p w14:paraId="2E1D875A" w14:textId="0D2C7366" w:rsidR="00F871D9" w:rsidRPr="00D27A1E" w:rsidRDefault="00F871D9" w:rsidP="00F871D9">
            <w:pPr>
              <w:pStyle w:val="ListParagraph"/>
              <w:ind w:left="0"/>
              <w:jc w:val="center"/>
              <w:rPr>
                <w:sz w:val="22"/>
              </w:rPr>
            </w:pPr>
            <w:r w:rsidRPr="00D27A1E">
              <w:rPr>
                <w:color w:val="000000"/>
                <w:sz w:val="22"/>
              </w:rPr>
              <w:t>0</w:t>
            </w:r>
          </w:p>
        </w:tc>
        <w:tc>
          <w:tcPr>
            <w:tcW w:w="1870" w:type="dxa"/>
            <w:vAlign w:val="center"/>
          </w:tcPr>
          <w:p w14:paraId="3DDE48E2" w14:textId="7D53D104" w:rsidR="00F871D9" w:rsidRPr="00D27A1E" w:rsidRDefault="00F871D9" w:rsidP="00F871D9">
            <w:pPr>
              <w:pStyle w:val="ListParagraph"/>
              <w:ind w:left="0"/>
              <w:jc w:val="center"/>
              <w:rPr>
                <w:sz w:val="22"/>
              </w:rPr>
            </w:pPr>
            <w:r w:rsidRPr="00D27A1E">
              <w:rPr>
                <w:color w:val="000000"/>
                <w:sz w:val="22"/>
              </w:rPr>
              <w:t>303</w:t>
            </w:r>
          </w:p>
        </w:tc>
      </w:tr>
      <w:tr w:rsidR="00F871D9" w14:paraId="4BA238F1" w14:textId="77777777" w:rsidTr="00A44AA9">
        <w:trPr>
          <w:trHeight w:val="288"/>
        </w:trPr>
        <w:tc>
          <w:tcPr>
            <w:tcW w:w="1870" w:type="dxa"/>
            <w:vAlign w:val="center"/>
          </w:tcPr>
          <w:p w14:paraId="512A3069" w14:textId="138672CD" w:rsidR="00F871D9" w:rsidRPr="00D27A1E" w:rsidRDefault="00F871D9" w:rsidP="00F871D9">
            <w:pPr>
              <w:pStyle w:val="ListParagraph"/>
              <w:ind w:left="0"/>
              <w:jc w:val="center"/>
              <w:rPr>
                <w:sz w:val="22"/>
              </w:rPr>
            </w:pPr>
            <w:r w:rsidRPr="00D27A1E">
              <w:rPr>
                <w:color w:val="000000"/>
                <w:sz w:val="22"/>
              </w:rPr>
              <w:t>2015</w:t>
            </w:r>
          </w:p>
        </w:tc>
        <w:tc>
          <w:tcPr>
            <w:tcW w:w="1870" w:type="dxa"/>
            <w:vAlign w:val="center"/>
          </w:tcPr>
          <w:p w14:paraId="5A901891" w14:textId="27EEEF20" w:rsidR="00F871D9" w:rsidRPr="00D27A1E" w:rsidRDefault="00F871D9" w:rsidP="00F871D9">
            <w:pPr>
              <w:pStyle w:val="ListParagraph"/>
              <w:ind w:left="0"/>
              <w:jc w:val="center"/>
              <w:rPr>
                <w:sz w:val="22"/>
              </w:rPr>
            </w:pPr>
            <w:r w:rsidRPr="00D27A1E">
              <w:rPr>
                <w:color w:val="000000"/>
                <w:sz w:val="22"/>
              </w:rPr>
              <w:t>4,277</w:t>
            </w:r>
          </w:p>
        </w:tc>
        <w:tc>
          <w:tcPr>
            <w:tcW w:w="1870" w:type="dxa"/>
            <w:vAlign w:val="center"/>
          </w:tcPr>
          <w:p w14:paraId="650B4625" w14:textId="14587180" w:rsidR="00F871D9" w:rsidRPr="00D27A1E" w:rsidRDefault="00F871D9" w:rsidP="00F871D9">
            <w:pPr>
              <w:pStyle w:val="ListParagraph"/>
              <w:ind w:left="0"/>
              <w:jc w:val="center"/>
              <w:rPr>
                <w:sz w:val="22"/>
              </w:rPr>
            </w:pPr>
            <w:r w:rsidRPr="00D27A1E">
              <w:rPr>
                <w:color w:val="000000"/>
                <w:sz w:val="22"/>
              </w:rPr>
              <w:t>3,213</w:t>
            </w:r>
          </w:p>
        </w:tc>
        <w:tc>
          <w:tcPr>
            <w:tcW w:w="1870" w:type="dxa"/>
            <w:vAlign w:val="center"/>
          </w:tcPr>
          <w:p w14:paraId="7C8EE09D" w14:textId="2006EAEF" w:rsidR="00F871D9" w:rsidRPr="00D27A1E" w:rsidRDefault="00F871D9" w:rsidP="00F871D9">
            <w:pPr>
              <w:pStyle w:val="ListParagraph"/>
              <w:ind w:left="0"/>
              <w:jc w:val="center"/>
              <w:rPr>
                <w:sz w:val="22"/>
              </w:rPr>
            </w:pPr>
            <w:r w:rsidRPr="00D27A1E">
              <w:rPr>
                <w:color w:val="000000"/>
                <w:sz w:val="22"/>
              </w:rPr>
              <w:t>1,658</w:t>
            </w:r>
          </w:p>
        </w:tc>
        <w:tc>
          <w:tcPr>
            <w:tcW w:w="1870" w:type="dxa"/>
            <w:vAlign w:val="center"/>
          </w:tcPr>
          <w:p w14:paraId="104BEBD0" w14:textId="446F857A" w:rsidR="00F871D9" w:rsidRPr="00D27A1E" w:rsidRDefault="00F871D9" w:rsidP="00F871D9">
            <w:pPr>
              <w:pStyle w:val="ListParagraph"/>
              <w:ind w:left="0"/>
              <w:jc w:val="center"/>
              <w:rPr>
                <w:sz w:val="22"/>
              </w:rPr>
            </w:pPr>
            <w:r w:rsidRPr="00D27A1E">
              <w:rPr>
                <w:color w:val="000000"/>
                <w:sz w:val="22"/>
              </w:rPr>
              <w:t>9,148</w:t>
            </w:r>
          </w:p>
        </w:tc>
      </w:tr>
      <w:tr w:rsidR="00F871D9" w14:paraId="62C22CB8" w14:textId="77777777" w:rsidTr="00A44AA9">
        <w:trPr>
          <w:trHeight w:val="288"/>
        </w:trPr>
        <w:tc>
          <w:tcPr>
            <w:tcW w:w="1870" w:type="dxa"/>
            <w:vAlign w:val="center"/>
          </w:tcPr>
          <w:p w14:paraId="296F601A" w14:textId="05606B12" w:rsidR="00F871D9" w:rsidRPr="00D27A1E" w:rsidRDefault="00F871D9" w:rsidP="00F871D9">
            <w:pPr>
              <w:pStyle w:val="ListParagraph"/>
              <w:ind w:left="0"/>
              <w:jc w:val="center"/>
              <w:rPr>
                <w:sz w:val="22"/>
              </w:rPr>
            </w:pPr>
            <w:r w:rsidRPr="00D27A1E">
              <w:rPr>
                <w:color w:val="000000"/>
                <w:sz w:val="22"/>
              </w:rPr>
              <w:t>2016</w:t>
            </w:r>
          </w:p>
        </w:tc>
        <w:tc>
          <w:tcPr>
            <w:tcW w:w="1870" w:type="dxa"/>
            <w:vAlign w:val="center"/>
          </w:tcPr>
          <w:p w14:paraId="30C68429" w14:textId="5EF84B88" w:rsidR="00F871D9" w:rsidRPr="00D27A1E" w:rsidRDefault="00F871D9" w:rsidP="00F871D9">
            <w:pPr>
              <w:pStyle w:val="ListParagraph"/>
              <w:ind w:left="0"/>
              <w:jc w:val="center"/>
              <w:rPr>
                <w:sz w:val="22"/>
              </w:rPr>
            </w:pPr>
            <w:r w:rsidRPr="00D27A1E">
              <w:rPr>
                <w:color w:val="000000"/>
                <w:sz w:val="22"/>
              </w:rPr>
              <w:t>7,484</w:t>
            </w:r>
          </w:p>
        </w:tc>
        <w:tc>
          <w:tcPr>
            <w:tcW w:w="1870" w:type="dxa"/>
            <w:vAlign w:val="center"/>
          </w:tcPr>
          <w:p w14:paraId="4AC8F402" w14:textId="767690DF" w:rsidR="00F871D9" w:rsidRPr="00D27A1E" w:rsidRDefault="00F871D9" w:rsidP="00F871D9">
            <w:pPr>
              <w:pStyle w:val="ListParagraph"/>
              <w:ind w:left="0"/>
              <w:jc w:val="center"/>
              <w:rPr>
                <w:sz w:val="22"/>
              </w:rPr>
            </w:pPr>
            <w:r w:rsidRPr="00D27A1E">
              <w:rPr>
                <w:color w:val="000000"/>
                <w:sz w:val="22"/>
              </w:rPr>
              <w:t>3,050</w:t>
            </w:r>
          </w:p>
        </w:tc>
        <w:tc>
          <w:tcPr>
            <w:tcW w:w="1870" w:type="dxa"/>
            <w:vAlign w:val="center"/>
          </w:tcPr>
          <w:p w14:paraId="1A45C5C6" w14:textId="3DA0AD81" w:rsidR="00F871D9" w:rsidRPr="00D27A1E" w:rsidRDefault="00F871D9" w:rsidP="00F871D9">
            <w:pPr>
              <w:pStyle w:val="ListParagraph"/>
              <w:ind w:left="0"/>
              <w:jc w:val="center"/>
              <w:rPr>
                <w:sz w:val="22"/>
              </w:rPr>
            </w:pPr>
            <w:r w:rsidRPr="00D27A1E">
              <w:rPr>
                <w:color w:val="000000"/>
                <w:sz w:val="22"/>
              </w:rPr>
              <w:t>1,036</w:t>
            </w:r>
          </w:p>
        </w:tc>
        <w:tc>
          <w:tcPr>
            <w:tcW w:w="1870" w:type="dxa"/>
            <w:vAlign w:val="center"/>
          </w:tcPr>
          <w:p w14:paraId="01C0F6A1" w14:textId="582CF651" w:rsidR="00F871D9" w:rsidRPr="00D27A1E" w:rsidRDefault="00F871D9" w:rsidP="00F871D9">
            <w:pPr>
              <w:pStyle w:val="ListParagraph"/>
              <w:ind w:left="0"/>
              <w:jc w:val="center"/>
              <w:rPr>
                <w:sz w:val="22"/>
              </w:rPr>
            </w:pPr>
            <w:r w:rsidRPr="00D27A1E">
              <w:rPr>
                <w:color w:val="000000"/>
                <w:sz w:val="22"/>
              </w:rPr>
              <w:t>11,570</w:t>
            </w:r>
          </w:p>
        </w:tc>
      </w:tr>
      <w:tr w:rsidR="00F871D9" w14:paraId="2DEB54D6" w14:textId="77777777" w:rsidTr="00A44AA9">
        <w:trPr>
          <w:trHeight w:val="288"/>
        </w:trPr>
        <w:tc>
          <w:tcPr>
            <w:tcW w:w="1870" w:type="dxa"/>
            <w:vAlign w:val="center"/>
          </w:tcPr>
          <w:p w14:paraId="4E3A6B75" w14:textId="4FF27411" w:rsidR="00F871D9" w:rsidRPr="00D27A1E" w:rsidRDefault="00F871D9" w:rsidP="00F871D9">
            <w:pPr>
              <w:pStyle w:val="ListParagraph"/>
              <w:ind w:left="0"/>
              <w:jc w:val="center"/>
              <w:rPr>
                <w:sz w:val="22"/>
              </w:rPr>
            </w:pPr>
            <w:r w:rsidRPr="00D27A1E">
              <w:rPr>
                <w:color w:val="000000"/>
                <w:sz w:val="22"/>
              </w:rPr>
              <w:t>2017</w:t>
            </w:r>
          </w:p>
        </w:tc>
        <w:tc>
          <w:tcPr>
            <w:tcW w:w="1870" w:type="dxa"/>
            <w:vAlign w:val="center"/>
          </w:tcPr>
          <w:p w14:paraId="32394577" w14:textId="235B8692" w:rsidR="00F871D9" w:rsidRPr="00D27A1E" w:rsidRDefault="00F871D9" w:rsidP="00F871D9">
            <w:pPr>
              <w:pStyle w:val="ListParagraph"/>
              <w:ind w:left="0"/>
              <w:jc w:val="center"/>
              <w:rPr>
                <w:sz w:val="22"/>
              </w:rPr>
            </w:pPr>
            <w:r w:rsidRPr="00D27A1E">
              <w:rPr>
                <w:color w:val="000000"/>
                <w:sz w:val="22"/>
              </w:rPr>
              <w:t>1,408</w:t>
            </w:r>
          </w:p>
        </w:tc>
        <w:tc>
          <w:tcPr>
            <w:tcW w:w="1870" w:type="dxa"/>
            <w:vAlign w:val="center"/>
          </w:tcPr>
          <w:p w14:paraId="5A2AB787" w14:textId="09465314" w:rsidR="00F871D9" w:rsidRPr="00D27A1E" w:rsidRDefault="00F871D9" w:rsidP="00F871D9">
            <w:pPr>
              <w:pStyle w:val="ListParagraph"/>
              <w:ind w:left="0"/>
              <w:jc w:val="center"/>
              <w:rPr>
                <w:sz w:val="22"/>
              </w:rPr>
            </w:pPr>
            <w:r w:rsidRPr="00D27A1E">
              <w:rPr>
                <w:color w:val="000000"/>
                <w:sz w:val="22"/>
              </w:rPr>
              <w:t>427</w:t>
            </w:r>
          </w:p>
        </w:tc>
        <w:tc>
          <w:tcPr>
            <w:tcW w:w="1870" w:type="dxa"/>
            <w:vAlign w:val="center"/>
          </w:tcPr>
          <w:p w14:paraId="33CF92F5" w14:textId="69EDD70B" w:rsidR="00F871D9" w:rsidRPr="00D27A1E" w:rsidRDefault="00F871D9" w:rsidP="00F871D9">
            <w:pPr>
              <w:pStyle w:val="ListParagraph"/>
              <w:ind w:left="0"/>
              <w:jc w:val="center"/>
              <w:rPr>
                <w:sz w:val="22"/>
              </w:rPr>
            </w:pPr>
            <w:r w:rsidRPr="00D27A1E">
              <w:rPr>
                <w:color w:val="000000"/>
                <w:sz w:val="22"/>
              </w:rPr>
              <w:t>457</w:t>
            </w:r>
          </w:p>
        </w:tc>
        <w:tc>
          <w:tcPr>
            <w:tcW w:w="1870" w:type="dxa"/>
            <w:vAlign w:val="center"/>
          </w:tcPr>
          <w:p w14:paraId="3D457D79" w14:textId="645FA459" w:rsidR="00F871D9" w:rsidRPr="00D27A1E" w:rsidRDefault="00F871D9" w:rsidP="00F871D9">
            <w:pPr>
              <w:pStyle w:val="ListParagraph"/>
              <w:ind w:left="0"/>
              <w:jc w:val="center"/>
              <w:rPr>
                <w:sz w:val="22"/>
              </w:rPr>
            </w:pPr>
            <w:r w:rsidRPr="00D27A1E">
              <w:rPr>
                <w:color w:val="000000"/>
                <w:sz w:val="22"/>
              </w:rPr>
              <w:t>2,293</w:t>
            </w:r>
          </w:p>
        </w:tc>
      </w:tr>
      <w:tr w:rsidR="00F871D9" w14:paraId="6F6DBF57" w14:textId="77777777" w:rsidTr="00A44AA9">
        <w:trPr>
          <w:trHeight w:val="288"/>
        </w:trPr>
        <w:tc>
          <w:tcPr>
            <w:tcW w:w="1870" w:type="dxa"/>
            <w:vAlign w:val="center"/>
          </w:tcPr>
          <w:p w14:paraId="38227354" w14:textId="4430E4FD" w:rsidR="00F871D9" w:rsidRPr="00D27A1E" w:rsidRDefault="00F871D9" w:rsidP="00F871D9">
            <w:pPr>
              <w:pStyle w:val="ListParagraph"/>
              <w:ind w:left="0"/>
              <w:jc w:val="center"/>
              <w:rPr>
                <w:sz w:val="22"/>
              </w:rPr>
            </w:pPr>
            <w:r w:rsidRPr="00D27A1E">
              <w:rPr>
                <w:color w:val="000000"/>
                <w:sz w:val="22"/>
              </w:rPr>
              <w:t>2018</w:t>
            </w:r>
          </w:p>
        </w:tc>
        <w:tc>
          <w:tcPr>
            <w:tcW w:w="1870" w:type="dxa"/>
            <w:vAlign w:val="center"/>
          </w:tcPr>
          <w:p w14:paraId="1CAF3256" w14:textId="22CDA503" w:rsidR="00F871D9" w:rsidRPr="00D27A1E" w:rsidRDefault="00F871D9" w:rsidP="00F871D9">
            <w:pPr>
              <w:pStyle w:val="ListParagraph"/>
              <w:ind w:left="0"/>
              <w:jc w:val="center"/>
              <w:rPr>
                <w:sz w:val="22"/>
              </w:rPr>
            </w:pPr>
            <w:r w:rsidRPr="00D27A1E">
              <w:rPr>
                <w:color w:val="000000"/>
                <w:sz w:val="22"/>
              </w:rPr>
              <w:t>0</w:t>
            </w:r>
          </w:p>
        </w:tc>
        <w:tc>
          <w:tcPr>
            <w:tcW w:w="1870" w:type="dxa"/>
            <w:vAlign w:val="center"/>
          </w:tcPr>
          <w:p w14:paraId="082AD866" w14:textId="46403B88" w:rsidR="00F871D9" w:rsidRPr="00D27A1E" w:rsidRDefault="00F871D9" w:rsidP="00F871D9">
            <w:pPr>
              <w:pStyle w:val="ListParagraph"/>
              <w:ind w:left="0"/>
              <w:jc w:val="center"/>
              <w:rPr>
                <w:sz w:val="22"/>
              </w:rPr>
            </w:pPr>
            <w:r w:rsidRPr="00D27A1E">
              <w:rPr>
                <w:color w:val="000000"/>
                <w:sz w:val="22"/>
              </w:rPr>
              <w:t>0</w:t>
            </w:r>
          </w:p>
        </w:tc>
        <w:tc>
          <w:tcPr>
            <w:tcW w:w="1870" w:type="dxa"/>
            <w:vAlign w:val="center"/>
          </w:tcPr>
          <w:p w14:paraId="6EBC7BA5" w14:textId="2938A946" w:rsidR="00F871D9" w:rsidRPr="00D27A1E" w:rsidRDefault="00F871D9" w:rsidP="00F871D9">
            <w:pPr>
              <w:pStyle w:val="ListParagraph"/>
              <w:ind w:left="0"/>
              <w:jc w:val="center"/>
              <w:rPr>
                <w:sz w:val="22"/>
              </w:rPr>
            </w:pPr>
            <w:r w:rsidRPr="00D27A1E">
              <w:rPr>
                <w:color w:val="000000"/>
                <w:sz w:val="22"/>
              </w:rPr>
              <w:t>0</w:t>
            </w:r>
          </w:p>
        </w:tc>
        <w:tc>
          <w:tcPr>
            <w:tcW w:w="1870" w:type="dxa"/>
            <w:vAlign w:val="center"/>
          </w:tcPr>
          <w:p w14:paraId="4FE06ACB" w14:textId="7DC2A63D" w:rsidR="00F871D9" w:rsidRPr="00D27A1E" w:rsidRDefault="00F871D9" w:rsidP="00F871D9">
            <w:pPr>
              <w:pStyle w:val="ListParagraph"/>
              <w:ind w:left="0"/>
              <w:jc w:val="center"/>
              <w:rPr>
                <w:sz w:val="22"/>
              </w:rPr>
            </w:pPr>
            <w:r w:rsidRPr="00D27A1E">
              <w:rPr>
                <w:color w:val="000000"/>
                <w:sz w:val="22"/>
              </w:rPr>
              <w:t>0</w:t>
            </w:r>
          </w:p>
        </w:tc>
      </w:tr>
      <w:tr w:rsidR="00F871D9" w14:paraId="15B8D4E8" w14:textId="77777777" w:rsidTr="00A44AA9">
        <w:trPr>
          <w:trHeight w:val="288"/>
        </w:trPr>
        <w:tc>
          <w:tcPr>
            <w:tcW w:w="1870" w:type="dxa"/>
            <w:vAlign w:val="center"/>
          </w:tcPr>
          <w:p w14:paraId="60526563" w14:textId="2F705AC3" w:rsidR="00F871D9" w:rsidRPr="00D27A1E" w:rsidRDefault="00F871D9" w:rsidP="00F871D9">
            <w:pPr>
              <w:pStyle w:val="ListParagraph"/>
              <w:ind w:left="0"/>
              <w:jc w:val="center"/>
              <w:rPr>
                <w:sz w:val="22"/>
              </w:rPr>
            </w:pPr>
            <w:r w:rsidRPr="00D27A1E">
              <w:rPr>
                <w:color w:val="000000"/>
                <w:sz w:val="22"/>
              </w:rPr>
              <w:t>2019</w:t>
            </w:r>
          </w:p>
        </w:tc>
        <w:tc>
          <w:tcPr>
            <w:tcW w:w="1870" w:type="dxa"/>
            <w:vAlign w:val="center"/>
          </w:tcPr>
          <w:p w14:paraId="54087FAC" w14:textId="0456B433" w:rsidR="00F871D9" w:rsidRPr="00D27A1E" w:rsidRDefault="00F871D9" w:rsidP="00F871D9">
            <w:pPr>
              <w:pStyle w:val="ListParagraph"/>
              <w:ind w:left="0"/>
              <w:jc w:val="center"/>
              <w:rPr>
                <w:sz w:val="22"/>
              </w:rPr>
            </w:pPr>
            <w:r w:rsidRPr="00D27A1E">
              <w:rPr>
                <w:color w:val="000000"/>
                <w:sz w:val="22"/>
              </w:rPr>
              <w:t>0</w:t>
            </w:r>
          </w:p>
        </w:tc>
        <w:tc>
          <w:tcPr>
            <w:tcW w:w="1870" w:type="dxa"/>
            <w:vAlign w:val="center"/>
          </w:tcPr>
          <w:p w14:paraId="6516DB39" w14:textId="0D4BB556" w:rsidR="00F871D9" w:rsidRPr="00D27A1E" w:rsidRDefault="00F871D9" w:rsidP="00F871D9">
            <w:pPr>
              <w:pStyle w:val="ListParagraph"/>
              <w:ind w:left="0"/>
              <w:jc w:val="center"/>
              <w:rPr>
                <w:sz w:val="22"/>
              </w:rPr>
            </w:pPr>
            <w:r w:rsidRPr="00D27A1E">
              <w:rPr>
                <w:color w:val="000000"/>
                <w:sz w:val="22"/>
              </w:rPr>
              <w:t>0</w:t>
            </w:r>
          </w:p>
        </w:tc>
        <w:tc>
          <w:tcPr>
            <w:tcW w:w="1870" w:type="dxa"/>
            <w:vAlign w:val="center"/>
          </w:tcPr>
          <w:p w14:paraId="38E50F92" w14:textId="2C786F8C" w:rsidR="00F871D9" w:rsidRPr="00D27A1E" w:rsidRDefault="00F871D9" w:rsidP="00F871D9">
            <w:pPr>
              <w:pStyle w:val="ListParagraph"/>
              <w:ind w:left="0"/>
              <w:jc w:val="center"/>
              <w:rPr>
                <w:sz w:val="22"/>
              </w:rPr>
            </w:pPr>
            <w:r w:rsidRPr="00D27A1E">
              <w:rPr>
                <w:color w:val="000000"/>
                <w:sz w:val="22"/>
              </w:rPr>
              <w:t>0</w:t>
            </w:r>
          </w:p>
        </w:tc>
        <w:tc>
          <w:tcPr>
            <w:tcW w:w="1870" w:type="dxa"/>
            <w:vAlign w:val="center"/>
          </w:tcPr>
          <w:p w14:paraId="4693232A" w14:textId="235C1664" w:rsidR="00F871D9" w:rsidRPr="00D27A1E" w:rsidRDefault="00F871D9" w:rsidP="00F871D9">
            <w:pPr>
              <w:pStyle w:val="ListParagraph"/>
              <w:ind w:left="0"/>
              <w:jc w:val="center"/>
              <w:rPr>
                <w:sz w:val="22"/>
              </w:rPr>
            </w:pPr>
            <w:r w:rsidRPr="00D27A1E">
              <w:rPr>
                <w:color w:val="000000"/>
                <w:sz w:val="22"/>
              </w:rPr>
              <w:t>0</w:t>
            </w:r>
          </w:p>
        </w:tc>
      </w:tr>
      <w:tr w:rsidR="00F871D9" w14:paraId="1E361810" w14:textId="77777777" w:rsidTr="00A44AA9">
        <w:trPr>
          <w:trHeight w:val="288"/>
        </w:trPr>
        <w:tc>
          <w:tcPr>
            <w:tcW w:w="1870" w:type="dxa"/>
            <w:shd w:val="clear" w:color="auto" w:fill="BFBFBF" w:themeFill="background1" w:themeFillShade="BF"/>
            <w:vAlign w:val="center"/>
          </w:tcPr>
          <w:p w14:paraId="6ECC892B" w14:textId="3A49F182" w:rsidR="00F871D9" w:rsidRPr="00D27A1E" w:rsidRDefault="00F871D9" w:rsidP="00A44AA9">
            <w:pPr>
              <w:pStyle w:val="ListParagraph"/>
              <w:ind w:left="0"/>
              <w:jc w:val="center"/>
              <w:rPr>
                <w:b/>
                <w:bCs/>
                <w:sz w:val="22"/>
              </w:rPr>
            </w:pPr>
            <w:r w:rsidRPr="00D27A1E">
              <w:rPr>
                <w:b/>
                <w:bCs/>
                <w:color w:val="000000"/>
                <w:sz w:val="22"/>
              </w:rPr>
              <w:t>Total,</w:t>
            </w:r>
            <w:r w:rsidR="00A44AA9">
              <w:rPr>
                <w:b/>
                <w:bCs/>
                <w:color w:val="000000"/>
                <w:sz w:val="22"/>
              </w:rPr>
              <w:t xml:space="preserve"> </w:t>
            </w:r>
            <w:r w:rsidRPr="00D27A1E">
              <w:rPr>
                <w:b/>
                <w:bCs/>
                <w:color w:val="000000"/>
                <w:sz w:val="22"/>
              </w:rPr>
              <w:t>2011-2019</w:t>
            </w:r>
          </w:p>
        </w:tc>
        <w:tc>
          <w:tcPr>
            <w:tcW w:w="1870" w:type="dxa"/>
            <w:shd w:val="clear" w:color="auto" w:fill="BFBFBF" w:themeFill="background1" w:themeFillShade="BF"/>
            <w:vAlign w:val="center"/>
          </w:tcPr>
          <w:p w14:paraId="37B71C00" w14:textId="3E8252AD" w:rsidR="00F871D9" w:rsidRPr="00D27A1E" w:rsidRDefault="00F871D9" w:rsidP="00F871D9">
            <w:pPr>
              <w:pStyle w:val="ListParagraph"/>
              <w:ind w:left="0"/>
              <w:jc w:val="center"/>
              <w:rPr>
                <w:b/>
                <w:bCs/>
                <w:sz w:val="22"/>
              </w:rPr>
            </w:pPr>
            <w:r w:rsidRPr="00D27A1E">
              <w:rPr>
                <w:b/>
                <w:bCs/>
                <w:color w:val="000000"/>
                <w:sz w:val="22"/>
              </w:rPr>
              <w:t>21,025</w:t>
            </w:r>
          </w:p>
        </w:tc>
        <w:tc>
          <w:tcPr>
            <w:tcW w:w="1870" w:type="dxa"/>
            <w:shd w:val="clear" w:color="auto" w:fill="BFBFBF" w:themeFill="background1" w:themeFillShade="BF"/>
            <w:vAlign w:val="center"/>
          </w:tcPr>
          <w:p w14:paraId="06B9FCB4" w14:textId="28AA7B42" w:rsidR="00F871D9" w:rsidRPr="00D27A1E" w:rsidRDefault="00F871D9" w:rsidP="00F871D9">
            <w:pPr>
              <w:pStyle w:val="ListParagraph"/>
              <w:ind w:left="0"/>
              <w:jc w:val="center"/>
              <w:rPr>
                <w:b/>
                <w:bCs/>
                <w:sz w:val="22"/>
              </w:rPr>
            </w:pPr>
            <w:r w:rsidRPr="00D27A1E">
              <w:rPr>
                <w:b/>
                <w:bCs/>
                <w:color w:val="000000"/>
                <w:sz w:val="22"/>
              </w:rPr>
              <w:t>10,213</w:t>
            </w:r>
          </w:p>
        </w:tc>
        <w:tc>
          <w:tcPr>
            <w:tcW w:w="1870" w:type="dxa"/>
            <w:shd w:val="clear" w:color="auto" w:fill="BFBFBF" w:themeFill="background1" w:themeFillShade="BF"/>
            <w:vAlign w:val="center"/>
          </w:tcPr>
          <w:p w14:paraId="28202A8F" w14:textId="2F476699" w:rsidR="00F871D9" w:rsidRPr="00D27A1E" w:rsidRDefault="00F871D9" w:rsidP="00F871D9">
            <w:pPr>
              <w:pStyle w:val="ListParagraph"/>
              <w:ind w:left="0"/>
              <w:jc w:val="center"/>
              <w:rPr>
                <w:b/>
                <w:bCs/>
                <w:sz w:val="22"/>
              </w:rPr>
            </w:pPr>
            <w:r w:rsidRPr="00D27A1E">
              <w:rPr>
                <w:b/>
                <w:bCs/>
                <w:color w:val="000000"/>
                <w:sz w:val="22"/>
              </w:rPr>
              <w:t>6,473</w:t>
            </w:r>
          </w:p>
        </w:tc>
        <w:tc>
          <w:tcPr>
            <w:tcW w:w="1870" w:type="dxa"/>
            <w:shd w:val="clear" w:color="auto" w:fill="BFBFBF" w:themeFill="background1" w:themeFillShade="BF"/>
            <w:vAlign w:val="center"/>
          </w:tcPr>
          <w:p w14:paraId="750D6705" w14:textId="6137CA54" w:rsidR="00F871D9" w:rsidRPr="00D27A1E" w:rsidRDefault="00F871D9" w:rsidP="00F871D9">
            <w:pPr>
              <w:pStyle w:val="ListParagraph"/>
              <w:ind w:left="0"/>
              <w:jc w:val="center"/>
              <w:rPr>
                <w:b/>
                <w:bCs/>
                <w:sz w:val="22"/>
              </w:rPr>
            </w:pPr>
            <w:r w:rsidRPr="00D27A1E">
              <w:rPr>
                <w:b/>
                <w:bCs/>
                <w:color w:val="000000"/>
                <w:sz w:val="22"/>
              </w:rPr>
              <w:t>37,711</w:t>
            </w:r>
          </w:p>
        </w:tc>
      </w:tr>
      <w:tr w:rsidR="00F871D9" w14:paraId="64F4EA78" w14:textId="77777777" w:rsidTr="00A44AA9">
        <w:trPr>
          <w:trHeight w:val="288"/>
        </w:trPr>
        <w:tc>
          <w:tcPr>
            <w:tcW w:w="1870" w:type="dxa"/>
            <w:shd w:val="clear" w:color="auto" w:fill="BFBFBF" w:themeFill="background1" w:themeFillShade="BF"/>
            <w:vAlign w:val="center"/>
          </w:tcPr>
          <w:p w14:paraId="1C45F15C" w14:textId="1B2ABE54" w:rsidR="00F871D9" w:rsidRPr="00D27A1E" w:rsidRDefault="00F871D9" w:rsidP="00A44AA9">
            <w:pPr>
              <w:pStyle w:val="ListParagraph"/>
              <w:ind w:left="0"/>
              <w:jc w:val="center"/>
              <w:rPr>
                <w:b/>
                <w:bCs/>
                <w:sz w:val="22"/>
              </w:rPr>
            </w:pPr>
            <w:r w:rsidRPr="00D27A1E">
              <w:rPr>
                <w:b/>
                <w:bCs/>
                <w:color w:val="000000"/>
                <w:sz w:val="22"/>
              </w:rPr>
              <w:t>Total,</w:t>
            </w:r>
            <w:r w:rsidR="00A44AA9">
              <w:rPr>
                <w:b/>
                <w:bCs/>
                <w:color w:val="000000"/>
                <w:sz w:val="22"/>
              </w:rPr>
              <w:t xml:space="preserve"> </w:t>
            </w:r>
            <w:r w:rsidRPr="00D27A1E">
              <w:rPr>
                <w:b/>
                <w:bCs/>
                <w:color w:val="000000"/>
                <w:sz w:val="22"/>
              </w:rPr>
              <w:t>2013-2019</w:t>
            </w:r>
          </w:p>
        </w:tc>
        <w:tc>
          <w:tcPr>
            <w:tcW w:w="1870" w:type="dxa"/>
            <w:shd w:val="clear" w:color="auto" w:fill="BFBFBF" w:themeFill="background1" w:themeFillShade="BF"/>
            <w:vAlign w:val="center"/>
          </w:tcPr>
          <w:p w14:paraId="42491E34" w14:textId="7A1AA2D9" w:rsidR="00F871D9" w:rsidRPr="00D27A1E" w:rsidRDefault="00F871D9" w:rsidP="00F871D9">
            <w:pPr>
              <w:pStyle w:val="ListParagraph"/>
              <w:ind w:left="0"/>
              <w:jc w:val="center"/>
              <w:rPr>
                <w:b/>
                <w:bCs/>
                <w:sz w:val="22"/>
              </w:rPr>
            </w:pPr>
            <w:r w:rsidRPr="00D27A1E">
              <w:rPr>
                <w:b/>
                <w:bCs/>
                <w:color w:val="000000"/>
                <w:sz w:val="22"/>
              </w:rPr>
              <w:t>15,309</w:t>
            </w:r>
          </w:p>
        </w:tc>
        <w:tc>
          <w:tcPr>
            <w:tcW w:w="1870" w:type="dxa"/>
            <w:shd w:val="clear" w:color="auto" w:fill="BFBFBF" w:themeFill="background1" w:themeFillShade="BF"/>
            <w:vAlign w:val="center"/>
          </w:tcPr>
          <w:p w14:paraId="0A188B2F" w14:textId="6AE668B3" w:rsidR="00F871D9" w:rsidRPr="00D27A1E" w:rsidRDefault="00F871D9" w:rsidP="00F871D9">
            <w:pPr>
              <w:pStyle w:val="ListParagraph"/>
              <w:ind w:left="0"/>
              <w:jc w:val="center"/>
              <w:rPr>
                <w:b/>
                <w:bCs/>
                <w:sz w:val="22"/>
              </w:rPr>
            </w:pPr>
            <w:r w:rsidRPr="00D27A1E">
              <w:rPr>
                <w:b/>
                <w:bCs/>
                <w:color w:val="000000"/>
                <w:sz w:val="22"/>
              </w:rPr>
              <w:t>6,994</w:t>
            </w:r>
          </w:p>
        </w:tc>
        <w:tc>
          <w:tcPr>
            <w:tcW w:w="1870" w:type="dxa"/>
            <w:shd w:val="clear" w:color="auto" w:fill="BFBFBF" w:themeFill="background1" w:themeFillShade="BF"/>
            <w:vAlign w:val="center"/>
          </w:tcPr>
          <w:p w14:paraId="6AA038D4" w14:textId="244B7D43" w:rsidR="00F871D9" w:rsidRPr="00D27A1E" w:rsidRDefault="00F871D9" w:rsidP="00F871D9">
            <w:pPr>
              <w:pStyle w:val="ListParagraph"/>
              <w:ind w:left="0"/>
              <w:jc w:val="center"/>
              <w:rPr>
                <w:b/>
                <w:bCs/>
                <w:sz w:val="22"/>
              </w:rPr>
            </w:pPr>
            <w:r w:rsidRPr="00D27A1E">
              <w:rPr>
                <w:b/>
                <w:bCs/>
                <w:color w:val="000000"/>
                <w:sz w:val="22"/>
              </w:rPr>
              <w:t>3,151</w:t>
            </w:r>
          </w:p>
        </w:tc>
        <w:tc>
          <w:tcPr>
            <w:tcW w:w="1870" w:type="dxa"/>
            <w:shd w:val="clear" w:color="auto" w:fill="BFBFBF" w:themeFill="background1" w:themeFillShade="BF"/>
            <w:vAlign w:val="center"/>
          </w:tcPr>
          <w:p w14:paraId="1FB1040B" w14:textId="7F112BE8" w:rsidR="00F871D9" w:rsidRPr="00D27A1E" w:rsidRDefault="00F871D9" w:rsidP="00F871D9">
            <w:pPr>
              <w:pStyle w:val="ListParagraph"/>
              <w:ind w:left="0"/>
              <w:jc w:val="center"/>
              <w:rPr>
                <w:b/>
                <w:bCs/>
                <w:sz w:val="22"/>
              </w:rPr>
            </w:pPr>
            <w:r w:rsidRPr="00D27A1E">
              <w:rPr>
                <w:b/>
                <w:bCs/>
                <w:color w:val="000000"/>
                <w:sz w:val="22"/>
              </w:rPr>
              <w:t>25,454</w:t>
            </w:r>
          </w:p>
        </w:tc>
      </w:tr>
    </w:tbl>
    <w:p w14:paraId="33911870" w14:textId="77777777" w:rsidR="00354C75" w:rsidRDefault="00354C75" w:rsidP="00494FEF">
      <w:pPr>
        <w:pStyle w:val="ListParagraph"/>
        <w:ind w:left="0"/>
        <w:rPr>
          <w:b/>
          <w:bCs/>
          <w:szCs w:val="24"/>
        </w:rPr>
      </w:pPr>
    </w:p>
    <w:p w14:paraId="76E9EC32" w14:textId="666C9879" w:rsidR="007A2D7B" w:rsidRDefault="0046745E" w:rsidP="00494FEF">
      <w:pPr>
        <w:pStyle w:val="ListParagraph"/>
        <w:ind w:left="0"/>
        <w:rPr>
          <w:szCs w:val="24"/>
        </w:rPr>
      </w:pPr>
      <w:r w:rsidRPr="00F347CB">
        <w:rPr>
          <w:b/>
          <w:bCs/>
          <w:szCs w:val="24"/>
        </w:rPr>
        <w:t xml:space="preserve">Table </w:t>
      </w:r>
      <w:r w:rsidR="00170955">
        <w:rPr>
          <w:b/>
          <w:bCs/>
          <w:szCs w:val="24"/>
        </w:rPr>
        <w:t>11</w:t>
      </w:r>
      <w:r>
        <w:rPr>
          <w:szCs w:val="24"/>
        </w:rPr>
        <w:t xml:space="preserve"> shows the results of routing accretions to Grand Island.  Note that the “</w:t>
      </w:r>
      <w:r w:rsidR="00F24C82">
        <w:rPr>
          <w:szCs w:val="24"/>
        </w:rPr>
        <w:t xml:space="preserve">Total </w:t>
      </w:r>
      <w:r w:rsidR="006D0C5C">
        <w:rPr>
          <w:szCs w:val="24"/>
        </w:rPr>
        <w:t>Volume Recharged</w:t>
      </w:r>
      <w:r>
        <w:rPr>
          <w:szCs w:val="24"/>
        </w:rPr>
        <w:t xml:space="preserve">” column corresponds to the last column in Table </w:t>
      </w:r>
      <w:r w:rsidR="00170955">
        <w:rPr>
          <w:szCs w:val="24"/>
        </w:rPr>
        <w:t>10</w:t>
      </w:r>
      <w:r>
        <w:rPr>
          <w:szCs w:val="24"/>
        </w:rPr>
        <w:t>, and the “</w:t>
      </w:r>
      <w:r w:rsidR="006D0C5C">
        <w:rPr>
          <w:szCs w:val="24"/>
        </w:rPr>
        <w:t>Lagged</w:t>
      </w:r>
      <w:r>
        <w:rPr>
          <w:szCs w:val="24"/>
        </w:rPr>
        <w:t xml:space="preserve"> Accretions at the River” column corresponds to the last column in Table </w:t>
      </w:r>
      <w:r w:rsidR="00170955">
        <w:rPr>
          <w:szCs w:val="24"/>
        </w:rPr>
        <w:t>9</w:t>
      </w:r>
      <w:r>
        <w:rPr>
          <w:szCs w:val="24"/>
        </w:rPr>
        <w:t xml:space="preserve"> above</w:t>
      </w:r>
      <w:r w:rsidR="006D0C5C">
        <w:rPr>
          <w:szCs w:val="24"/>
        </w:rPr>
        <w:t xml:space="preserve"> (just the total volume, as there are differences in the annual values due to billing adjustments)</w:t>
      </w:r>
      <w:r>
        <w:rPr>
          <w:szCs w:val="24"/>
        </w:rPr>
        <w:t>.  These values are not rounded so as to maintain consistency with CPNRD’s measured recharge diversions and the accretions billed to the Program.  The last two columns were calculated by the EDO and are rounded.</w:t>
      </w:r>
    </w:p>
    <w:p w14:paraId="20A4C93B" w14:textId="426C30FA" w:rsidR="0046745E" w:rsidRDefault="0046745E" w:rsidP="00494FEF">
      <w:pPr>
        <w:pStyle w:val="ListParagraph"/>
        <w:ind w:left="0"/>
        <w:rPr>
          <w:szCs w:val="24"/>
        </w:rPr>
      </w:pPr>
    </w:p>
    <w:p w14:paraId="4B9FB558" w14:textId="05237232" w:rsidR="00D27A1E" w:rsidRPr="000D4763" w:rsidRDefault="00D27A1E" w:rsidP="00494FEF">
      <w:pPr>
        <w:pStyle w:val="ListParagraph"/>
        <w:ind w:left="0"/>
        <w:rPr>
          <w:b/>
          <w:bCs/>
          <w:sz w:val="22"/>
        </w:rPr>
      </w:pPr>
      <w:r w:rsidRPr="000D4763">
        <w:rPr>
          <w:b/>
          <w:bCs/>
          <w:sz w:val="22"/>
        </w:rPr>
        <w:t xml:space="preserve">Table </w:t>
      </w:r>
      <w:r w:rsidR="00170955">
        <w:rPr>
          <w:b/>
          <w:bCs/>
          <w:sz w:val="22"/>
        </w:rPr>
        <w:t>11</w:t>
      </w:r>
      <w:r w:rsidRPr="000D4763">
        <w:rPr>
          <w:b/>
          <w:bCs/>
          <w:sz w:val="22"/>
        </w:rPr>
        <w:t>.</w:t>
      </w:r>
      <w:r w:rsidR="00152A41" w:rsidRPr="000D4763">
        <w:rPr>
          <w:b/>
          <w:bCs/>
          <w:sz w:val="22"/>
        </w:rPr>
        <w:t xml:space="preserve">  CPNRD Canal Recharge Project Operations Accounting</w:t>
      </w:r>
      <w:r w:rsidR="000D4763">
        <w:rPr>
          <w:b/>
          <w:bCs/>
          <w:sz w:val="22"/>
        </w:rPr>
        <w:t>, 2013-2019</w:t>
      </w:r>
      <w:r w:rsidRPr="000D4763">
        <w:rPr>
          <w:b/>
          <w:bCs/>
          <w:sz w:val="22"/>
        </w:rPr>
        <w:t xml:space="preserve">  </w:t>
      </w:r>
    </w:p>
    <w:tbl>
      <w:tblPr>
        <w:tblStyle w:val="TableGrid"/>
        <w:tblW w:w="0" w:type="auto"/>
        <w:tblLook w:val="04A0" w:firstRow="1" w:lastRow="0" w:firstColumn="1" w:lastColumn="0" w:noHBand="0" w:noVBand="1"/>
      </w:tblPr>
      <w:tblGrid>
        <w:gridCol w:w="1870"/>
        <w:gridCol w:w="1870"/>
        <w:gridCol w:w="1870"/>
        <w:gridCol w:w="1870"/>
        <w:gridCol w:w="1870"/>
      </w:tblGrid>
      <w:tr w:rsidR="00D27A1E" w14:paraId="06BC2C40" w14:textId="77777777" w:rsidTr="00F347CB">
        <w:tc>
          <w:tcPr>
            <w:tcW w:w="1870" w:type="dxa"/>
            <w:shd w:val="clear" w:color="auto" w:fill="C2D69B" w:themeFill="accent3" w:themeFillTint="99"/>
            <w:vAlign w:val="bottom"/>
          </w:tcPr>
          <w:p w14:paraId="12D86584" w14:textId="59B33647" w:rsidR="00D27A1E" w:rsidRPr="00D27A1E" w:rsidRDefault="00D27A1E" w:rsidP="00F347CB">
            <w:pPr>
              <w:pStyle w:val="ListParagraph"/>
              <w:ind w:left="0"/>
              <w:jc w:val="center"/>
              <w:rPr>
                <w:b/>
                <w:bCs/>
                <w:szCs w:val="24"/>
              </w:rPr>
            </w:pPr>
            <w:r w:rsidRPr="00D27A1E">
              <w:rPr>
                <w:b/>
                <w:bCs/>
                <w:color w:val="000000"/>
                <w:sz w:val="22"/>
              </w:rPr>
              <w:t>Year</w:t>
            </w:r>
          </w:p>
        </w:tc>
        <w:tc>
          <w:tcPr>
            <w:tcW w:w="1870" w:type="dxa"/>
            <w:shd w:val="clear" w:color="auto" w:fill="C2D69B" w:themeFill="accent3" w:themeFillTint="99"/>
            <w:vAlign w:val="bottom"/>
          </w:tcPr>
          <w:p w14:paraId="74FBFDA7" w14:textId="17DF246D" w:rsidR="00EF5742" w:rsidRDefault="0014729E" w:rsidP="00F347CB">
            <w:pPr>
              <w:pStyle w:val="ListParagraph"/>
              <w:ind w:left="0"/>
              <w:jc w:val="center"/>
              <w:rPr>
                <w:b/>
                <w:bCs/>
                <w:color w:val="000000"/>
                <w:sz w:val="22"/>
              </w:rPr>
            </w:pPr>
            <w:r>
              <w:rPr>
                <w:b/>
                <w:bCs/>
                <w:color w:val="000000"/>
                <w:sz w:val="22"/>
              </w:rPr>
              <w:t xml:space="preserve">Total </w:t>
            </w:r>
            <w:r w:rsidR="00EF5742">
              <w:rPr>
                <w:b/>
                <w:bCs/>
                <w:color w:val="000000"/>
                <w:sz w:val="22"/>
              </w:rPr>
              <w:t>Volume Recharged</w:t>
            </w:r>
          </w:p>
          <w:p w14:paraId="12BB344D" w14:textId="0813A70B" w:rsidR="00D27A1E" w:rsidRPr="00D27A1E" w:rsidRDefault="00D27A1E" w:rsidP="00F347CB">
            <w:pPr>
              <w:pStyle w:val="ListParagraph"/>
              <w:ind w:left="0"/>
              <w:jc w:val="center"/>
              <w:rPr>
                <w:b/>
                <w:bCs/>
                <w:szCs w:val="24"/>
              </w:rPr>
            </w:pPr>
            <w:r w:rsidRPr="00D27A1E">
              <w:rPr>
                <w:b/>
                <w:bCs/>
                <w:color w:val="000000"/>
                <w:sz w:val="22"/>
              </w:rPr>
              <w:t>(AF)</w:t>
            </w:r>
          </w:p>
        </w:tc>
        <w:tc>
          <w:tcPr>
            <w:tcW w:w="1870" w:type="dxa"/>
            <w:shd w:val="clear" w:color="auto" w:fill="C2D69B" w:themeFill="accent3" w:themeFillTint="99"/>
            <w:vAlign w:val="bottom"/>
          </w:tcPr>
          <w:p w14:paraId="4BC6F5E7" w14:textId="7F0AED3D" w:rsidR="00D27A1E" w:rsidRPr="00D27A1E" w:rsidRDefault="00EF5742" w:rsidP="00F347CB">
            <w:pPr>
              <w:pStyle w:val="ListParagraph"/>
              <w:ind w:left="0"/>
              <w:jc w:val="center"/>
              <w:rPr>
                <w:b/>
                <w:bCs/>
                <w:color w:val="000000"/>
                <w:sz w:val="22"/>
              </w:rPr>
            </w:pPr>
            <w:r>
              <w:rPr>
                <w:b/>
                <w:bCs/>
                <w:color w:val="000000"/>
                <w:sz w:val="22"/>
              </w:rPr>
              <w:t>Lagged</w:t>
            </w:r>
            <w:r w:rsidR="00D27A1E" w:rsidRPr="00D27A1E">
              <w:rPr>
                <w:b/>
                <w:bCs/>
                <w:color w:val="000000"/>
                <w:sz w:val="22"/>
              </w:rPr>
              <w:t xml:space="preserve"> Accretions at the River</w:t>
            </w:r>
          </w:p>
          <w:p w14:paraId="32D21C0E" w14:textId="602A247F" w:rsidR="00D27A1E" w:rsidRPr="00D27A1E" w:rsidRDefault="00D27A1E" w:rsidP="00F347CB">
            <w:pPr>
              <w:pStyle w:val="ListParagraph"/>
              <w:ind w:left="0"/>
              <w:jc w:val="center"/>
              <w:rPr>
                <w:b/>
                <w:bCs/>
                <w:szCs w:val="24"/>
              </w:rPr>
            </w:pPr>
            <w:r w:rsidRPr="00D27A1E">
              <w:rPr>
                <w:b/>
                <w:bCs/>
                <w:color w:val="000000"/>
                <w:sz w:val="22"/>
              </w:rPr>
              <w:t>(AF)</w:t>
            </w:r>
          </w:p>
        </w:tc>
        <w:tc>
          <w:tcPr>
            <w:tcW w:w="1870" w:type="dxa"/>
            <w:shd w:val="clear" w:color="auto" w:fill="C2D69B" w:themeFill="accent3" w:themeFillTint="99"/>
            <w:vAlign w:val="bottom"/>
          </w:tcPr>
          <w:p w14:paraId="45696C32" w14:textId="77777777" w:rsidR="00F347CB" w:rsidRDefault="00EF5742" w:rsidP="00F347CB">
            <w:pPr>
              <w:pStyle w:val="ListParagraph"/>
              <w:ind w:left="0"/>
              <w:jc w:val="center"/>
              <w:rPr>
                <w:b/>
                <w:bCs/>
                <w:color w:val="000000"/>
                <w:sz w:val="22"/>
              </w:rPr>
            </w:pPr>
            <w:r>
              <w:rPr>
                <w:b/>
                <w:bCs/>
                <w:color w:val="000000"/>
                <w:sz w:val="22"/>
              </w:rPr>
              <w:t xml:space="preserve">Accretions Reaching </w:t>
            </w:r>
            <w:r w:rsidR="00D27A1E" w:rsidRPr="00D27A1E">
              <w:rPr>
                <w:b/>
                <w:bCs/>
                <w:color w:val="000000"/>
                <w:sz w:val="22"/>
              </w:rPr>
              <w:t>Grand Island</w:t>
            </w:r>
          </w:p>
          <w:p w14:paraId="418B13C3" w14:textId="3DFA4658" w:rsidR="00D27A1E" w:rsidRPr="00D27A1E" w:rsidRDefault="00D27A1E" w:rsidP="00F347CB">
            <w:pPr>
              <w:pStyle w:val="ListParagraph"/>
              <w:ind w:left="0"/>
              <w:jc w:val="center"/>
              <w:rPr>
                <w:b/>
                <w:bCs/>
                <w:szCs w:val="24"/>
              </w:rPr>
            </w:pPr>
            <w:r w:rsidRPr="00D27A1E">
              <w:rPr>
                <w:b/>
                <w:bCs/>
                <w:color w:val="000000"/>
                <w:sz w:val="22"/>
              </w:rPr>
              <w:t>(AF)</w:t>
            </w:r>
          </w:p>
        </w:tc>
        <w:tc>
          <w:tcPr>
            <w:tcW w:w="1870" w:type="dxa"/>
            <w:shd w:val="clear" w:color="auto" w:fill="C2D69B" w:themeFill="accent3" w:themeFillTint="99"/>
            <w:vAlign w:val="bottom"/>
          </w:tcPr>
          <w:p w14:paraId="28B74978" w14:textId="5727FF34" w:rsidR="00D27A1E" w:rsidRPr="00D27A1E" w:rsidRDefault="00D27A1E" w:rsidP="00F347CB">
            <w:pPr>
              <w:pStyle w:val="ListParagraph"/>
              <w:ind w:left="0"/>
              <w:jc w:val="center"/>
              <w:rPr>
                <w:b/>
                <w:bCs/>
                <w:color w:val="000000"/>
                <w:sz w:val="22"/>
              </w:rPr>
            </w:pPr>
            <w:r w:rsidRPr="00D27A1E">
              <w:rPr>
                <w:b/>
                <w:bCs/>
                <w:color w:val="000000"/>
                <w:sz w:val="22"/>
              </w:rPr>
              <w:t>Reduction</w:t>
            </w:r>
            <w:r w:rsidR="00EF5742">
              <w:rPr>
                <w:b/>
                <w:bCs/>
                <w:color w:val="000000"/>
                <w:sz w:val="22"/>
              </w:rPr>
              <w:t>s</w:t>
            </w:r>
            <w:r w:rsidRPr="00D27A1E">
              <w:rPr>
                <w:b/>
                <w:bCs/>
                <w:color w:val="000000"/>
                <w:sz w:val="22"/>
              </w:rPr>
              <w:t xml:space="preserve"> to Target Flow Deficit</w:t>
            </w:r>
            <w:r w:rsidR="00EF5742">
              <w:rPr>
                <w:b/>
                <w:bCs/>
                <w:color w:val="000000"/>
                <w:sz w:val="22"/>
              </w:rPr>
              <w:t>s</w:t>
            </w:r>
          </w:p>
          <w:p w14:paraId="0F81EF0B" w14:textId="0345D2DE" w:rsidR="00D27A1E" w:rsidRPr="00D27A1E" w:rsidRDefault="00D27A1E" w:rsidP="00F347CB">
            <w:pPr>
              <w:pStyle w:val="ListParagraph"/>
              <w:ind w:left="0"/>
              <w:jc w:val="center"/>
              <w:rPr>
                <w:b/>
                <w:bCs/>
                <w:szCs w:val="24"/>
              </w:rPr>
            </w:pPr>
            <w:r w:rsidRPr="00D27A1E">
              <w:rPr>
                <w:b/>
                <w:bCs/>
                <w:color w:val="000000"/>
                <w:sz w:val="22"/>
              </w:rPr>
              <w:t>(AF)</w:t>
            </w:r>
          </w:p>
        </w:tc>
      </w:tr>
      <w:tr w:rsidR="00D27A1E" w14:paraId="548D1001" w14:textId="77777777" w:rsidTr="00D27A1E">
        <w:trPr>
          <w:trHeight w:val="288"/>
        </w:trPr>
        <w:tc>
          <w:tcPr>
            <w:tcW w:w="1870" w:type="dxa"/>
            <w:vAlign w:val="center"/>
          </w:tcPr>
          <w:p w14:paraId="7BFA5003" w14:textId="095B9C05" w:rsidR="00D27A1E" w:rsidRPr="00D27A1E" w:rsidRDefault="00D27A1E" w:rsidP="00D27A1E">
            <w:pPr>
              <w:pStyle w:val="ListParagraph"/>
              <w:ind w:left="0"/>
              <w:jc w:val="center"/>
              <w:rPr>
                <w:szCs w:val="24"/>
              </w:rPr>
            </w:pPr>
            <w:r w:rsidRPr="00D27A1E">
              <w:rPr>
                <w:color w:val="000000"/>
                <w:sz w:val="22"/>
              </w:rPr>
              <w:t>2013</w:t>
            </w:r>
          </w:p>
        </w:tc>
        <w:tc>
          <w:tcPr>
            <w:tcW w:w="1870" w:type="dxa"/>
            <w:vAlign w:val="center"/>
          </w:tcPr>
          <w:p w14:paraId="4CDC8F35" w14:textId="1A7D2A62" w:rsidR="00D27A1E" w:rsidRPr="00D27A1E" w:rsidRDefault="00D27A1E" w:rsidP="00D27A1E">
            <w:pPr>
              <w:pStyle w:val="ListParagraph"/>
              <w:ind w:left="0"/>
              <w:jc w:val="center"/>
              <w:rPr>
                <w:szCs w:val="24"/>
              </w:rPr>
            </w:pPr>
            <w:r w:rsidRPr="00D27A1E">
              <w:rPr>
                <w:color w:val="000000"/>
                <w:sz w:val="22"/>
              </w:rPr>
              <w:t>2,140</w:t>
            </w:r>
          </w:p>
        </w:tc>
        <w:tc>
          <w:tcPr>
            <w:tcW w:w="1870" w:type="dxa"/>
            <w:vAlign w:val="center"/>
          </w:tcPr>
          <w:p w14:paraId="446EB181" w14:textId="4ECFBEC7" w:rsidR="00D27A1E" w:rsidRPr="00D27A1E" w:rsidRDefault="00D27A1E" w:rsidP="00D27A1E">
            <w:pPr>
              <w:pStyle w:val="ListParagraph"/>
              <w:ind w:left="0"/>
              <w:jc w:val="center"/>
              <w:rPr>
                <w:szCs w:val="24"/>
              </w:rPr>
            </w:pPr>
            <w:r w:rsidRPr="00D27A1E">
              <w:rPr>
                <w:color w:val="000000"/>
                <w:sz w:val="22"/>
              </w:rPr>
              <w:t>980</w:t>
            </w:r>
          </w:p>
        </w:tc>
        <w:tc>
          <w:tcPr>
            <w:tcW w:w="1870" w:type="dxa"/>
            <w:vAlign w:val="center"/>
          </w:tcPr>
          <w:p w14:paraId="659C861E" w14:textId="6A87A4B6" w:rsidR="00D27A1E" w:rsidRPr="00D27A1E" w:rsidRDefault="00D27A1E" w:rsidP="00D27A1E">
            <w:pPr>
              <w:pStyle w:val="ListParagraph"/>
              <w:ind w:left="0"/>
              <w:jc w:val="center"/>
              <w:rPr>
                <w:szCs w:val="24"/>
              </w:rPr>
            </w:pPr>
            <w:r w:rsidRPr="00D27A1E">
              <w:rPr>
                <w:color w:val="000000"/>
                <w:sz w:val="22"/>
              </w:rPr>
              <w:t>740</w:t>
            </w:r>
          </w:p>
        </w:tc>
        <w:tc>
          <w:tcPr>
            <w:tcW w:w="1870" w:type="dxa"/>
            <w:vAlign w:val="center"/>
          </w:tcPr>
          <w:p w14:paraId="40D20816" w14:textId="14203697" w:rsidR="00D27A1E" w:rsidRPr="00D27A1E" w:rsidRDefault="00D27A1E" w:rsidP="00D27A1E">
            <w:pPr>
              <w:pStyle w:val="ListParagraph"/>
              <w:ind w:left="0"/>
              <w:jc w:val="center"/>
              <w:rPr>
                <w:szCs w:val="24"/>
              </w:rPr>
            </w:pPr>
            <w:r w:rsidRPr="00D27A1E">
              <w:rPr>
                <w:color w:val="000000"/>
                <w:sz w:val="22"/>
              </w:rPr>
              <w:t>520</w:t>
            </w:r>
          </w:p>
        </w:tc>
      </w:tr>
      <w:tr w:rsidR="00D27A1E" w14:paraId="65D93686" w14:textId="77777777" w:rsidTr="00D27A1E">
        <w:trPr>
          <w:trHeight w:val="288"/>
        </w:trPr>
        <w:tc>
          <w:tcPr>
            <w:tcW w:w="1870" w:type="dxa"/>
            <w:vAlign w:val="center"/>
          </w:tcPr>
          <w:p w14:paraId="42ABD24D" w14:textId="12D6B595" w:rsidR="00D27A1E" w:rsidRPr="00D27A1E" w:rsidRDefault="00D27A1E" w:rsidP="00D27A1E">
            <w:pPr>
              <w:pStyle w:val="ListParagraph"/>
              <w:ind w:left="0"/>
              <w:jc w:val="center"/>
              <w:rPr>
                <w:szCs w:val="24"/>
              </w:rPr>
            </w:pPr>
            <w:r w:rsidRPr="00D27A1E">
              <w:rPr>
                <w:color w:val="000000"/>
                <w:sz w:val="22"/>
              </w:rPr>
              <w:t>2014</w:t>
            </w:r>
          </w:p>
        </w:tc>
        <w:tc>
          <w:tcPr>
            <w:tcW w:w="1870" w:type="dxa"/>
            <w:vAlign w:val="center"/>
          </w:tcPr>
          <w:p w14:paraId="54AFA8F1" w14:textId="5200CE13" w:rsidR="00D27A1E" w:rsidRPr="00D27A1E" w:rsidRDefault="00D27A1E" w:rsidP="00D27A1E">
            <w:pPr>
              <w:pStyle w:val="ListParagraph"/>
              <w:ind w:left="0"/>
              <w:jc w:val="center"/>
              <w:rPr>
                <w:szCs w:val="24"/>
              </w:rPr>
            </w:pPr>
            <w:r w:rsidRPr="00D27A1E">
              <w:rPr>
                <w:color w:val="000000"/>
                <w:sz w:val="22"/>
              </w:rPr>
              <w:t>303</w:t>
            </w:r>
          </w:p>
        </w:tc>
        <w:tc>
          <w:tcPr>
            <w:tcW w:w="1870" w:type="dxa"/>
            <w:vAlign w:val="center"/>
          </w:tcPr>
          <w:p w14:paraId="71F0FEA3" w14:textId="03EE8A8B" w:rsidR="00D27A1E" w:rsidRPr="00D27A1E" w:rsidRDefault="00D27A1E" w:rsidP="00D27A1E">
            <w:pPr>
              <w:pStyle w:val="ListParagraph"/>
              <w:ind w:left="0"/>
              <w:jc w:val="center"/>
              <w:rPr>
                <w:szCs w:val="24"/>
              </w:rPr>
            </w:pPr>
            <w:r w:rsidRPr="00D27A1E">
              <w:rPr>
                <w:color w:val="000000"/>
                <w:sz w:val="22"/>
              </w:rPr>
              <w:t>331</w:t>
            </w:r>
          </w:p>
        </w:tc>
        <w:tc>
          <w:tcPr>
            <w:tcW w:w="1870" w:type="dxa"/>
            <w:vAlign w:val="center"/>
          </w:tcPr>
          <w:p w14:paraId="4565B24B" w14:textId="1569EEBA" w:rsidR="00D27A1E" w:rsidRPr="00D27A1E" w:rsidRDefault="00D27A1E" w:rsidP="00D27A1E">
            <w:pPr>
              <w:pStyle w:val="ListParagraph"/>
              <w:ind w:left="0"/>
              <w:jc w:val="center"/>
              <w:rPr>
                <w:szCs w:val="24"/>
              </w:rPr>
            </w:pPr>
            <w:r w:rsidRPr="00D27A1E">
              <w:rPr>
                <w:color w:val="000000"/>
                <w:sz w:val="22"/>
              </w:rPr>
              <w:t>270</w:t>
            </w:r>
          </w:p>
        </w:tc>
        <w:tc>
          <w:tcPr>
            <w:tcW w:w="1870" w:type="dxa"/>
            <w:vAlign w:val="center"/>
          </w:tcPr>
          <w:p w14:paraId="6975C37B" w14:textId="147D2EAC" w:rsidR="00D27A1E" w:rsidRPr="00D27A1E" w:rsidRDefault="00D27A1E" w:rsidP="00D27A1E">
            <w:pPr>
              <w:pStyle w:val="ListParagraph"/>
              <w:ind w:left="0"/>
              <w:jc w:val="center"/>
              <w:rPr>
                <w:szCs w:val="24"/>
              </w:rPr>
            </w:pPr>
            <w:r w:rsidRPr="00D27A1E">
              <w:rPr>
                <w:color w:val="000000"/>
                <w:sz w:val="22"/>
              </w:rPr>
              <w:t>200</w:t>
            </w:r>
          </w:p>
        </w:tc>
      </w:tr>
      <w:tr w:rsidR="00D27A1E" w14:paraId="386AD5A4" w14:textId="77777777" w:rsidTr="00D27A1E">
        <w:trPr>
          <w:trHeight w:val="288"/>
        </w:trPr>
        <w:tc>
          <w:tcPr>
            <w:tcW w:w="1870" w:type="dxa"/>
            <w:vAlign w:val="center"/>
          </w:tcPr>
          <w:p w14:paraId="590DA1A6" w14:textId="7145AF97" w:rsidR="00D27A1E" w:rsidRPr="00D27A1E" w:rsidRDefault="00D27A1E" w:rsidP="00D27A1E">
            <w:pPr>
              <w:pStyle w:val="ListParagraph"/>
              <w:ind w:left="0"/>
              <w:jc w:val="center"/>
              <w:rPr>
                <w:szCs w:val="24"/>
              </w:rPr>
            </w:pPr>
            <w:r w:rsidRPr="00D27A1E">
              <w:rPr>
                <w:color w:val="000000"/>
                <w:sz w:val="22"/>
              </w:rPr>
              <w:t>2015</w:t>
            </w:r>
          </w:p>
        </w:tc>
        <w:tc>
          <w:tcPr>
            <w:tcW w:w="1870" w:type="dxa"/>
            <w:vAlign w:val="center"/>
          </w:tcPr>
          <w:p w14:paraId="7AFF3784" w14:textId="196E1D6F" w:rsidR="00D27A1E" w:rsidRPr="00D27A1E" w:rsidRDefault="00D27A1E" w:rsidP="00D27A1E">
            <w:pPr>
              <w:pStyle w:val="ListParagraph"/>
              <w:ind w:left="0"/>
              <w:jc w:val="center"/>
              <w:rPr>
                <w:szCs w:val="24"/>
              </w:rPr>
            </w:pPr>
            <w:r w:rsidRPr="00D27A1E">
              <w:rPr>
                <w:color w:val="000000"/>
                <w:sz w:val="22"/>
              </w:rPr>
              <w:t>9,148</w:t>
            </w:r>
          </w:p>
        </w:tc>
        <w:tc>
          <w:tcPr>
            <w:tcW w:w="1870" w:type="dxa"/>
            <w:vAlign w:val="center"/>
          </w:tcPr>
          <w:p w14:paraId="2C01B778" w14:textId="306BDC41" w:rsidR="00D27A1E" w:rsidRPr="00D27A1E" w:rsidRDefault="00D27A1E" w:rsidP="00D27A1E">
            <w:pPr>
              <w:pStyle w:val="ListParagraph"/>
              <w:ind w:left="0"/>
              <w:jc w:val="center"/>
              <w:rPr>
                <w:szCs w:val="24"/>
              </w:rPr>
            </w:pPr>
            <w:r w:rsidRPr="00D27A1E">
              <w:rPr>
                <w:color w:val="000000"/>
                <w:sz w:val="22"/>
              </w:rPr>
              <w:t>1,590</w:t>
            </w:r>
          </w:p>
        </w:tc>
        <w:tc>
          <w:tcPr>
            <w:tcW w:w="1870" w:type="dxa"/>
            <w:vAlign w:val="center"/>
          </w:tcPr>
          <w:p w14:paraId="58E83B74" w14:textId="05269697" w:rsidR="00D27A1E" w:rsidRPr="00D27A1E" w:rsidRDefault="00D27A1E" w:rsidP="00D27A1E">
            <w:pPr>
              <w:pStyle w:val="ListParagraph"/>
              <w:ind w:left="0"/>
              <w:jc w:val="center"/>
              <w:rPr>
                <w:szCs w:val="24"/>
              </w:rPr>
            </w:pPr>
            <w:r w:rsidRPr="00D27A1E">
              <w:rPr>
                <w:color w:val="000000"/>
                <w:sz w:val="22"/>
              </w:rPr>
              <w:t>1,400</w:t>
            </w:r>
          </w:p>
        </w:tc>
        <w:tc>
          <w:tcPr>
            <w:tcW w:w="1870" w:type="dxa"/>
            <w:vAlign w:val="center"/>
          </w:tcPr>
          <w:p w14:paraId="603DA835" w14:textId="26D59F89" w:rsidR="00D27A1E" w:rsidRPr="00D27A1E" w:rsidRDefault="00D27A1E" w:rsidP="00D27A1E">
            <w:pPr>
              <w:pStyle w:val="ListParagraph"/>
              <w:ind w:left="0"/>
              <w:jc w:val="center"/>
              <w:rPr>
                <w:szCs w:val="24"/>
              </w:rPr>
            </w:pPr>
            <w:r w:rsidRPr="00D27A1E">
              <w:rPr>
                <w:color w:val="000000"/>
                <w:sz w:val="22"/>
              </w:rPr>
              <w:t>470</w:t>
            </w:r>
          </w:p>
        </w:tc>
      </w:tr>
      <w:tr w:rsidR="00D27A1E" w14:paraId="2150BACA" w14:textId="77777777" w:rsidTr="00D27A1E">
        <w:trPr>
          <w:trHeight w:val="288"/>
        </w:trPr>
        <w:tc>
          <w:tcPr>
            <w:tcW w:w="1870" w:type="dxa"/>
            <w:vAlign w:val="center"/>
          </w:tcPr>
          <w:p w14:paraId="7592CCFE" w14:textId="34ED748B" w:rsidR="00D27A1E" w:rsidRPr="00D27A1E" w:rsidRDefault="00D27A1E" w:rsidP="00D27A1E">
            <w:pPr>
              <w:pStyle w:val="ListParagraph"/>
              <w:ind w:left="0"/>
              <w:jc w:val="center"/>
              <w:rPr>
                <w:szCs w:val="24"/>
              </w:rPr>
            </w:pPr>
            <w:r w:rsidRPr="00D27A1E">
              <w:rPr>
                <w:color w:val="000000"/>
                <w:sz w:val="22"/>
              </w:rPr>
              <w:t>2016</w:t>
            </w:r>
          </w:p>
        </w:tc>
        <w:tc>
          <w:tcPr>
            <w:tcW w:w="1870" w:type="dxa"/>
            <w:vAlign w:val="center"/>
          </w:tcPr>
          <w:p w14:paraId="1BCF1301" w14:textId="149CC48D" w:rsidR="00D27A1E" w:rsidRPr="00D27A1E" w:rsidRDefault="00D27A1E" w:rsidP="00D27A1E">
            <w:pPr>
              <w:pStyle w:val="ListParagraph"/>
              <w:ind w:left="0"/>
              <w:jc w:val="center"/>
              <w:rPr>
                <w:szCs w:val="24"/>
              </w:rPr>
            </w:pPr>
            <w:r w:rsidRPr="00D27A1E">
              <w:rPr>
                <w:color w:val="000000"/>
                <w:sz w:val="22"/>
              </w:rPr>
              <w:t>11,570</w:t>
            </w:r>
          </w:p>
        </w:tc>
        <w:tc>
          <w:tcPr>
            <w:tcW w:w="1870" w:type="dxa"/>
            <w:vAlign w:val="center"/>
          </w:tcPr>
          <w:p w14:paraId="7218C209" w14:textId="5D2D16B5" w:rsidR="00D27A1E" w:rsidRPr="00D27A1E" w:rsidRDefault="00D27A1E" w:rsidP="00D27A1E">
            <w:pPr>
              <w:pStyle w:val="ListParagraph"/>
              <w:ind w:left="0"/>
              <w:jc w:val="center"/>
              <w:rPr>
                <w:szCs w:val="24"/>
              </w:rPr>
            </w:pPr>
            <w:r w:rsidRPr="00D27A1E">
              <w:rPr>
                <w:color w:val="000000"/>
                <w:sz w:val="22"/>
              </w:rPr>
              <w:t>2,145</w:t>
            </w:r>
          </w:p>
        </w:tc>
        <w:tc>
          <w:tcPr>
            <w:tcW w:w="1870" w:type="dxa"/>
            <w:vAlign w:val="center"/>
          </w:tcPr>
          <w:p w14:paraId="3AD8C7B5" w14:textId="3E90D450" w:rsidR="00D27A1E" w:rsidRPr="00D27A1E" w:rsidRDefault="00D27A1E" w:rsidP="00D27A1E">
            <w:pPr>
              <w:pStyle w:val="ListParagraph"/>
              <w:ind w:left="0"/>
              <w:jc w:val="center"/>
              <w:rPr>
                <w:szCs w:val="24"/>
              </w:rPr>
            </w:pPr>
            <w:r w:rsidRPr="00D27A1E">
              <w:rPr>
                <w:color w:val="000000"/>
                <w:sz w:val="22"/>
              </w:rPr>
              <w:t>1,900</w:t>
            </w:r>
          </w:p>
        </w:tc>
        <w:tc>
          <w:tcPr>
            <w:tcW w:w="1870" w:type="dxa"/>
            <w:vAlign w:val="center"/>
          </w:tcPr>
          <w:p w14:paraId="29724F16" w14:textId="58DDBC7D" w:rsidR="00D27A1E" w:rsidRPr="00D27A1E" w:rsidRDefault="00D27A1E" w:rsidP="00D27A1E">
            <w:pPr>
              <w:pStyle w:val="ListParagraph"/>
              <w:ind w:left="0"/>
              <w:jc w:val="center"/>
              <w:rPr>
                <w:szCs w:val="24"/>
              </w:rPr>
            </w:pPr>
            <w:r w:rsidRPr="00D27A1E">
              <w:rPr>
                <w:color w:val="000000"/>
                <w:sz w:val="22"/>
              </w:rPr>
              <w:t>580</w:t>
            </w:r>
          </w:p>
        </w:tc>
      </w:tr>
      <w:tr w:rsidR="00D27A1E" w14:paraId="340D472F" w14:textId="77777777" w:rsidTr="00D27A1E">
        <w:trPr>
          <w:trHeight w:val="288"/>
        </w:trPr>
        <w:tc>
          <w:tcPr>
            <w:tcW w:w="1870" w:type="dxa"/>
            <w:vAlign w:val="center"/>
          </w:tcPr>
          <w:p w14:paraId="311A88E9" w14:textId="25CD1484" w:rsidR="00D27A1E" w:rsidRPr="00D27A1E" w:rsidRDefault="00D27A1E" w:rsidP="00D27A1E">
            <w:pPr>
              <w:pStyle w:val="ListParagraph"/>
              <w:ind w:left="0"/>
              <w:jc w:val="center"/>
              <w:rPr>
                <w:szCs w:val="24"/>
              </w:rPr>
            </w:pPr>
            <w:r w:rsidRPr="00D27A1E">
              <w:rPr>
                <w:color w:val="000000"/>
                <w:sz w:val="22"/>
              </w:rPr>
              <w:t>2017</w:t>
            </w:r>
          </w:p>
        </w:tc>
        <w:tc>
          <w:tcPr>
            <w:tcW w:w="1870" w:type="dxa"/>
            <w:vAlign w:val="center"/>
          </w:tcPr>
          <w:p w14:paraId="62032EF4" w14:textId="4798E1F8" w:rsidR="00D27A1E" w:rsidRPr="00D27A1E" w:rsidRDefault="00D27A1E" w:rsidP="00D27A1E">
            <w:pPr>
              <w:pStyle w:val="ListParagraph"/>
              <w:ind w:left="0"/>
              <w:jc w:val="center"/>
              <w:rPr>
                <w:szCs w:val="24"/>
              </w:rPr>
            </w:pPr>
            <w:r w:rsidRPr="00D27A1E">
              <w:rPr>
                <w:color w:val="000000"/>
                <w:sz w:val="22"/>
              </w:rPr>
              <w:t>2,293</w:t>
            </w:r>
          </w:p>
        </w:tc>
        <w:tc>
          <w:tcPr>
            <w:tcW w:w="1870" w:type="dxa"/>
            <w:vAlign w:val="center"/>
          </w:tcPr>
          <w:p w14:paraId="2F2D3E74" w14:textId="4F21D503" w:rsidR="00D27A1E" w:rsidRPr="00D27A1E" w:rsidRDefault="00D27A1E" w:rsidP="00D27A1E">
            <w:pPr>
              <w:pStyle w:val="ListParagraph"/>
              <w:ind w:left="0"/>
              <w:jc w:val="center"/>
              <w:rPr>
                <w:szCs w:val="24"/>
              </w:rPr>
            </w:pPr>
            <w:r w:rsidRPr="00D27A1E">
              <w:rPr>
                <w:color w:val="000000"/>
                <w:sz w:val="22"/>
              </w:rPr>
              <w:t>2,376</w:t>
            </w:r>
          </w:p>
        </w:tc>
        <w:tc>
          <w:tcPr>
            <w:tcW w:w="1870" w:type="dxa"/>
            <w:vAlign w:val="center"/>
          </w:tcPr>
          <w:p w14:paraId="75C1AC9F" w14:textId="657ACFEF" w:rsidR="00D27A1E" w:rsidRPr="00D27A1E" w:rsidRDefault="00D27A1E" w:rsidP="00D27A1E">
            <w:pPr>
              <w:pStyle w:val="ListParagraph"/>
              <w:ind w:left="0"/>
              <w:jc w:val="center"/>
              <w:rPr>
                <w:szCs w:val="24"/>
              </w:rPr>
            </w:pPr>
            <w:r w:rsidRPr="00D27A1E">
              <w:rPr>
                <w:color w:val="000000"/>
                <w:sz w:val="22"/>
              </w:rPr>
              <w:t>1,900</w:t>
            </w:r>
          </w:p>
        </w:tc>
        <w:tc>
          <w:tcPr>
            <w:tcW w:w="1870" w:type="dxa"/>
            <w:vAlign w:val="center"/>
          </w:tcPr>
          <w:p w14:paraId="220850B7" w14:textId="027CE453" w:rsidR="00D27A1E" w:rsidRPr="00D27A1E" w:rsidRDefault="00D27A1E" w:rsidP="00D27A1E">
            <w:pPr>
              <w:pStyle w:val="ListParagraph"/>
              <w:ind w:left="0"/>
              <w:jc w:val="center"/>
              <w:rPr>
                <w:szCs w:val="24"/>
              </w:rPr>
            </w:pPr>
            <w:r w:rsidRPr="00D27A1E">
              <w:rPr>
                <w:color w:val="000000"/>
                <w:sz w:val="22"/>
              </w:rPr>
              <w:t>1,000</w:t>
            </w:r>
          </w:p>
        </w:tc>
      </w:tr>
      <w:tr w:rsidR="00D27A1E" w14:paraId="2CC9C742" w14:textId="77777777" w:rsidTr="00D27A1E">
        <w:trPr>
          <w:trHeight w:val="288"/>
        </w:trPr>
        <w:tc>
          <w:tcPr>
            <w:tcW w:w="1870" w:type="dxa"/>
            <w:vAlign w:val="center"/>
          </w:tcPr>
          <w:p w14:paraId="7C70B395" w14:textId="5FF5BFD6" w:rsidR="00D27A1E" w:rsidRPr="00D27A1E" w:rsidRDefault="00D27A1E" w:rsidP="00D27A1E">
            <w:pPr>
              <w:pStyle w:val="ListParagraph"/>
              <w:ind w:left="0"/>
              <w:jc w:val="center"/>
              <w:rPr>
                <w:szCs w:val="24"/>
              </w:rPr>
            </w:pPr>
            <w:r w:rsidRPr="00D27A1E">
              <w:rPr>
                <w:color w:val="000000"/>
                <w:sz w:val="22"/>
              </w:rPr>
              <w:t>2018</w:t>
            </w:r>
          </w:p>
        </w:tc>
        <w:tc>
          <w:tcPr>
            <w:tcW w:w="1870" w:type="dxa"/>
            <w:vAlign w:val="center"/>
          </w:tcPr>
          <w:p w14:paraId="0AA64F59" w14:textId="71CD5639" w:rsidR="00D27A1E" w:rsidRPr="00D27A1E" w:rsidRDefault="00D27A1E" w:rsidP="00D27A1E">
            <w:pPr>
              <w:pStyle w:val="ListParagraph"/>
              <w:ind w:left="0"/>
              <w:jc w:val="center"/>
              <w:rPr>
                <w:szCs w:val="24"/>
              </w:rPr>
            </w:pPr>
            <w:r w:rsidRPr="00D27A1E">
              <w:rPr>
                <w:color w:val="000000"/>
                <w:sz w:val="22"/>
              </w:rPr>
              <w:t>0</w:t>
            </w:r>
          </w:p>
        </w:tc>
        <w:tc>
          <w:tcPr>
            <w:tcW w:w="1870" w:type="dxa"/>
            <w:vAlign w:val="center"/>
          </w:tcPr>
          <w:p w14:paraId="293EB252" w14:textId="6D71AE9B" w:rsidR="00D27A1E" w:rsidRPr="00D27A1E" w:rsidRDefault="00D27A1E" w:rsidP="00D27A1E">
            <w:pPr>
              <w:pStyle w:val="ListParagraph"/>
              <w:ind w:left="0"/>
              <w:jc w:val="center"/>
              <w:rPr>
                <w:szCs w:val="24"/>
              </w:rPr>
            </w:pPr>
            <w:r w:rsidRPr="00D27A1E">
              <w:rPr>
                <w:color w:val="000000"/>
                <w:sz w:val="22"/>
              </w:rPr>
              <w:t>1,865</w:t>
            </w:r>
          </w:p>
        </w:tc>
        <w:tc>
          <w:tcPr>
            <w:tcW w:w="1870" w:type="dxa"/>
            <w:vAlign w:val="center"/>
          </w:tcPr>
          <w:p w14:paraId="654BB4FA" w14:textId="7303EB59" w:rsidR="00D27A1E" w:rsidRPr="00D27A1E" w:rsidRDefault="00D27A1E" w:rsidP="00D27A1E">
            <w:pPr>
              <w:pStyle w:val="ListParagraph"/>
              <w:ind w:left="0"/>
              <w:jc w:val="center"/>
              <w:rPr>
                <w:szCs w:val="24"/>
              </w:rPr>
            </w:pPr>
            <w:r w:rsidRPr="00D27A1E">
              <w:rPr>
                <w:color w:val="000000"/>
                <w:sz w:val="22"/>
              </w:rPr>
              <w:t>1,600</w:t>
            </w:r>
          </w:p>
        </w:tc>
        <w:tc>
          <w:tcPr>
            <w:tcW w:w="1870" w:type="dxa"/>
            <w:vAlign w:val="center"/>
          </w:tcPr>
          <w:p w14:paraId="246AB5B6" w14:textId="64845904" w:rsidR="00D27A1E" w:rsidRPr="00D27A1E" w:rsidRDefault="00D27A1E" w:rsidP="00D27A1E">
            <w:pPr>
              <w:pStyle w:val="ListParagraph"/>
              <w:ind w:left="0"/>
              <w:jc w:val="center"/>
              <w:rPr>
                <w:szCs w:val="24"/>
              </w:rPr>
            </w:pPr>
            <w:r w:rsidRPr="00D27A1E">
              <w:rPr>
                <w:color w:val="000000"/>
                <w:sz w:val="22"/>
              </w:rPr>
              <w:t>990</w:t>
            </w:r>
          </w:p>
        </w:tc>
      </w:tr>
      <w:tr w:rsidR="00D27A1E" w14:paraId="33130516" w14:textId="77777777" w:rsidTr="00D27A1E">
        <w:trPr>
          <w:trHeight w:val="288"/>
        </w:trPr>
        <w:tc>
          <w:tcPr>
            <w:tcW w:w="1870" w:type="dxa"/>
            <w:vAlign w:val="center"/>
          </w:tcPr>
          <w:p w14:paraId="53EDF509" w14:textId="3D4471B6" w:rsidR="00D27A1E" w:rsidRPr="00D27A1E" w:rsidRDefault="00D27A1E" w:rsidP="00D27A1E">
            <w:pPr>
              <w:pStyle w:val="ListParagraph"/>
              <w:ind w:left="0"/>
              <w:jc w:val="center"/>
              <w:rPr>
                <w:szCs w:val="24"/>
              </w:rPr>
            </w:pPr>
            <w:r w:rsidRPr="00D27A1E">
              <w:rPr>
                <w:color w:val="000000"/>
                <w:sz w:val="22"/>
              </w:rPr>
              <w:t>2019</w:t>
            </w:r>
          </w:p>
        </w:tc>
        <w:tc>
          <w:tcPr>
            <w:tcW w:w="1870" w:type="dxa"/>
            <w:vAlign w:val="center"/>
          </w:tcPr>
          <w:p w14:paraId="6ADE2DBD" w14:textId="05CB2145" w:rsidR="00D27A1E" w:rsidRPr="00D27A1E" w:rsidRDefault="00D27A1E" w:rsidP="00D27A1E">
            <w:pPr>
              <w:pStyle w:val="ListParagraph"/>
              <w:ind w:left="0"/>
              <w:jc w:val="center"/>
              <w:rPr>
                <w:szCs w:val="24"/>
              </w:rPr>
            </w:pPr>
            <w:r w:rsidRPr="00D27A1E">
              <w:rPr>
                <w:color w:val="000000"/>
                <w:sz w:val="22"/>
              </w:rPr>
              <w:t>0</w:t>
            </w:r>
          </w:p>
        </w:tc>
        <w:tc>
          <w:tcPr>
            <w:tcW w:w="1870" w:type="dxa"/>
            <w:vAlign w:val="center"/>
          </w:tcPr>
          <w:p w14:paraId="688D92D6" w14:textId="5CC818D9" w:rsidR="00D27A1E" w:rsidRPr="00D27A1E" w:rsidRDefault="00D27A1E" w:rsidP="00D27A1E">
            <w:pPr>
              <w:pStyle w:val="ListParagraph"/>
              <w:ind w:left="0"/>
              <w:jc w:val="center"/>
              <w:rPr>
                <w:szCs w:val="24"/>
              </w:rPr>
            </w:pPr>
            <w:r w:rsidRPr="00D27A1E">
              <w:rPr>
                <w:color w:val="000000"/>
                <w:sz w:val="22"/>
              </w:rPr>
              <w:t>1,463</w:t>
            </w:r>
          </w:p>
        </w:tc>
        <w:tc>
          <w:tcPr>
            <w:tcW w:w="1870" w:type="dxa"/>
            <w:vAlign w:val="center"/>
          </w:tcPr>
          <w:p w14:paraId="1A46FA3B" w14:textId="7A9409E9" w:rsidR="00D27A1E" w:rsidRPr="00D27A1E" w:rsidRDefault="00D27A1E" w:rsidP="00D27A1E">
            <w:pPr>
              <w:pStyle w:val="ListParagraph"/>
              <w:ind w:left="0"/>
              <w:jc w:val="center"/>
              <w:rPr>
                <w:szCs w:val="24"/>
              </w:rPr>
            </w:pPr>
            <w:r w:rsidRPr="00D27A1E">
              <w:rPr>
                <w:color w:val="000000"/>
                <w:sz w:val="22"/>
              </w:rPr>
              <w:t>1,300</w:t>
            </w:r>
          </w:p>
        </w:tc>
        <w:tc>
          <w:tcPr>
            <w:tcW w:w="1870" w:type="dxa"/>
            <w:vAlign w:val="center"/>
          </w:tcPr>
          <w:p w14:paraId="2FFA5EC9" w14:textId="55ECC3B4" w:rsidR="00D27A1E" w:rsidRPr="00D27A1E" w:rsidRDefault="00D27A1E" w:rsidP="00D27A1E">
            <w:pPr>
              <w:pStyle w:val="ListParagraph"/>
              <w:ind w:left="0"/>
              <w:jc w:val="center"/>
              <w:rPr>
                <w:szCs w:val="24"/>
              </w:rPr>
            </w:pPr>
            <w:r w:rsidRPr="00D27A1E">
              <w:rPr>
                <w:color w:val="000000"/>
                <w:sz w:val="22"/>
              </w:rPr>
              <w:t>360</w:t>
            </w:r>
          </w:p>
        </w:tc>
      </w:tr>
      <w:tr w:rsidR="00D27A1E" w14:paraId="2979E6CD" w14:textId="77777777" w:rsidTr="00D27A1E">
        <w:trPr>
          <w:trHeight w:val="288"/>
        </w:trPr>
        <w:tc>
          <w:tcPr>
            <w:tcW w:w="1870" w:type="dxa"/>
            <w:shd w:val="clear" w:color="auto" w:fill="BFBFBF" w:themeFill="background1" w:themeFillShade="BF"/>
            <w:vAlign w:val="center"/>
          </w:tcPr>
          <w:p w14:paraId="7BB6DC14" w14:textId="0AA03586" w:rsidR="00D27A1E" w:rsidRPr="00D27A1E" w:rsidRDefault="00D27A1E" w:rsidP="00D27A1E">
            <w:pPr>
              <w:pStyle w:val="ListParagraph"/>
              <w:ind w:left="0"/>
              <w:jc w:val="center"/>
              <w:rPr>
                <w:b/>
                <w:bCs/>
                <w:szCs w:val="24"/>
              </w:rPr>
            </w:pPr>
            <w:r w:rsidRPr="00D27A1E">
              <w:rPr>
                <w:b/>
                <w:bCs/>
                <w:color w:val="000000"/>
                <w:sz w:val="22"/>
              </w:rPr>
              <w:t>Total</w:t>
            </w:r>
          </w:p>
        </w:tc>
        <w:tc>
          <w:tcPr>
            <w:tcW w:w="1870" w:type="dxa"/>
            <w:shd w:val="clear" w:color="auto" w:fill="BFBFBF" w:themeFill="background1" w:themeFillShade="BF"/>
            <w:vAlign w:val="center"/>
          </w:tcPr>
          <w:p w14:paraId="3125E939" w14:textId="35B2A4C1" w:rsidR="00D27A1E" w:rsidRPr="00D27A1E" w:rsidRDefault="00D27A1E" w:rsidP="00D27A1E">
            <w:pPr>
              <w:pStyle w:val="ListParagraph"/>
              <w:ind w:left="0"/>
              <w:jc w:val="center"/>
              <w:rPr>
                <w:b/>
                <w:bCs/>
                <w:szCs w:val="24"/>
              </w:rPr>
            </w:pPr>
            <w:r w:rsidRPr="00D27A1E">
              <w:rPr>
                <w:b/>
                <w:bCs/>
                <w:color w:val="000000"/>
                <w:sz w:val="22"/>
              </w:rPr>
              <w:t>25,454</w:t>
            </w:r>
          </w:p>
        </w:tc>
        <w:tc>
          <w:tcPr>
            <w:tcW w:w="1870" w:type="dxa"/>
            <w:shd w:val="clear" w:color="auto" w:fill="BFBFBF" w:themeFill="background1" w:themeFillShade="BF"/>
            <w:vAlign w:val="center"/>
          </w:tcPr>
          <w:p w14:paraId="1670F039" w14:textId="21675828" w:rsidR="00D27A1E" w:rsidRPr="00D27A1E" w:rsidRDefault="00D27A1E" w:rsidP="00D27A1E">
            <w:pPr>
              <w:pStyle w:val="ListParagraph"/>
              <w:ind w:left="0"/>
              <w:jc w:val="center"/>
              <w:rPr>
                <w:b/>
                <w:bCs/>
                <w:szCs w:val="24"/>
              </w:rPr>
            </w:pPr>
            <w:r w:rsidRPr="00D27A1E">
              <w:rPr>
                <w:b/>
                <w:bCs/>
                <w:color w:val="000000"/>
                <w:sz w:val="22"/>
              </w:rPr>
              <w:t>10,751</w:t>
            </w:r>
          </w:p>
        </w:tc>
        <w:tc>
          <w:tcPr>
            <w:tcW w:w="1870" w:type="dxa"/>
            <w:shd w:val="clear" w:color="auto" w:fill="BFBFBF" w:themeFill="background1" w:themeFillShade="BF"/>
            <w:vAlign w:val="center"/>
          </w:tcPr>
          <w:p w14:paraId="05BC7D3F" w14:textId="20FAD3C6" w:rsidR="00D27A1E" w:rsidRPr="00D27A1E" w:rsidRDefault="00D27A1E" w:rsidP="00D27A1E">
            <w:pPr>
              <w:pStyle w:val="ListParagraph"/>
              <w:ind w:left="0"/>
              <w:jc w:val="center"/>
              <w:rPr>
                <w:b/>
                <w:bCs/>
                <w:szCs w:val="24"/>
              </w:rPr>
            </w:pPr>
            <w:r w:rsidRPr="00D27A1E">
              <w:rPr>
                <w:b/>
                <w:bCs/>
                <w:color w:val="000000"/>
                <w:sz w:val="22"/>
              </w:rPr>
              <w:t>9,000</w:t>
            </w:r>
          </w:p>
        </w:tc>
        <w:tc>
          <w:tcPr>
            <w:tcW w:w="1870" w:type="dxa"/>
            <w:shd w:val="clear" w:color="auto" w:fill="BFBFBF" w:themeFill="background1" w:themeFillShade="BF"/>
            <w:vAlign w:val="center"/>
          </w:tcPr>
          <w:p w14:paraId="2B1D98C1" w14:textId="4465890A" w:rsidR="00D27A1E" w:rsidRPr="00D27A1E" w:rsidRDefault="00D27A1E" w:rsidP="00D27A1E">
            <w:pPr>
              <w:pStyle w:val="ListParagraph"/>
              <w:ind w:left="0"/>
              <w:jc w:val="center"/>
              <w:rPr>
                <w:b/>
                <w:bCs/>
                <w:szCs w:val="24"/>
              </w:rPr>
            </w:pPr>
            <w:r w:rsidRPr="00D27A1E">
              <w:rPr>
                <w:b/>
                <w:bCs/>
                <w:color w:val="000000"/>
                <w:sz w:val="22"/>
              </w:rPr>
              <w:t>4,100</w:t>
            </w:r>
          </w:p>
        </w:tc>
      </w:tr>
      <w:tr w:rsidR="00D27A1E" w14:paraId="26CB2559" w14:textId="77777777" w:rsidTr="00D27A1E">
        <w:trPr>
          <w:trHeight w:val="288"/>
        </w:trPr>
        <w:tc>
          <w:tcPr>
            <w:tcW w:w="1870" w:type="dxa"/>
            <w:shd w:val="clear" w:color="auto" w:fill="BFBFBF" w:themeFill="background1" w:themeFillShade="BF"/>
            <w:vAlign w:val="center"/>
          </w:tcPr>
          <w:p w14:paraId="44981346" w14:textId="62D13198" w:rsidR="00D27A1E" w:rsidRPr="00D27A1E" w:rsidRDefault="00D27A1E" w:rsidP="00D27A1E">
            <w:pPr>
              <w:pStyle w:val="ListParagraph"/>
              <w:ind w:left="0"/>
              <w:jc w:val="center"/>
              <w:rPr>
                <w:b/>
                <w:bCs/>
                <w:szCs w:val="24"/>
              </w:rPr>
            </w:pPr>
            <w:r w:rsidRPr="00D27A1E">
              <w:rPr>
                <w:b/>
                <w:bCs/>
                <w:color w:val="000000"/>
                <w:sz w:val="22"/>
              </w:rPr>
              <w:t>Average</w:t>
            </w:r>
          </w:p>
        </w:tc>
        <w:tc>
          <w:tcPr>
            <w:tcW w:w="1870" w:type="dxa"/>
            <w:shd w:val="clear" w:color="auto" w:fill="BFBFBF" w:themeFill="background1" w:themeFillShade="BF"/>
            <w:vAlign w:val="center"/>
          </w:tcPr>
          <w:p w14:paraId="1928453D" w14:textId="67D56413" w:rsidR="00D27A1E" w:rsidRPr="00D27A1E" w:rsidRDefault="00D27A1E" w:rsidP="00D27A1E">
            <w:pPr>
              <w:pStyle w:val="ListParagraph"/>
              <w:ind w:left="0"/>
              <w:jc w:val="center"/>
              <w:rPr>
                <w:b/>
                <w:bCs/>
                <w:szCs w:val="24"/>
              </w:rPr>
            </w:pPr>
            <w:r w:rsidRPr="00D27A1E">
              <w:rPr>
                <w:b/>
                <w:bCs/>
                <w:color w:val="000000"/>
                <w:sz w:val="22"/>
              </w:rPr>
              <w:t>3,636</w:t>
            </w:r>
          </w:p>
        </w:tc>
        <w:tc>
          <w:tcPr>
            <w:tcW w:w="1870" w:type="dxa"/>
            <w:shd w:val="clear" w:color="auto" w:fill="BFBFBF" w:themeFill="background1" w:themeFillShade="BF"/>
            <w:vAlign w:val="center"/>
          </w:tcPr>
          <w:p w14:paraId="38F502B6" w14:textId="006D1881" w:rsidR="00D27A1E" w:rsidRPr="00D27A1E" w:rsidRDefault="00D27A1E" w:rsidP="00D27A1E">
            <w:pPr>
              <w:pStyle w:val="ListParagraph"/>
              <w:ind w:left="0"/>
              <w:jc w:val="center"/>
              <w:rPr>
                <w:b/>
                <w:bCs/>
                <w:szCs w:val="24"/>
              </w:rPr>
            </w:pPr>
            <w:r w:rsidRPr="00D27A1E">
              <w:rPr>
                <w:b/>
                <w:bCs/>
                <w:color w:val="000000"/>
                <w:sz w:val="22"/>
              </w:rPr>
              <w:t>1,536</w:t>
            </w:r>
          </w:p>
        </w:tc>
        <w:tc>
          <w:tcPr>
            <w:tcW w:w="1870" w:type="dxa"/>
            <w:shd w:val="clear" w:color="auto" w:fill="BFBFBF" w:themeFill="background1" w:themeFillShade="BF"/>
            <w:vAlign w:val="center"/>
          </w:tcPr>
          <w:p w14:paraId="2A75D9E2" w14:textId="6F8BAF18" w:rsidR="00D27A1E" w:rsidRPr="00D27A1E" w:rsidRDefault="00D27A1E" w:rsidP="00D27A1E">
            <w:pPr>
              <w:pStyle w:val="ListParagraph"/>
              <w:ind w:left="0"/>
              <w:jc w:val="center"/>
              <w:rPr>
                <w:b/>
                <w:bCs/>
                <w:szCs w:val="24"/>
              </w:rPr>
            </w:pPr>
            <w:r w:rsidRPr="00D27A1E">
              <w:rPr>
                <w:b/>
                <w:bCs/>
                <w:color w:val="000000"/>
                <w:sz w:val="22"/>
              </w:rPr>
              <w:t>1,300</w:t>
            </w:r>
          </w:p>
        </w:tc>
        <w:tc>
          <w:tcPr>
            <w:tcW w:w="1870" w:type="dxa"/>
            <w:shd w:val="clear" w:color="auto" w:fill="BFBFBF" w:themeFill="background1" w:themeFillShade="BF"/>
            <w:vAlign w:val="center"/>
          </w:tcPr>
          <w:p w14:paraId="06347DCF" w14:textId="2B9E5A61" w:rsidR="00D27A1E" w:rsidRPr="00D27A1E" w:rsidRDefault="00D27A1E" w:rsidP="00D27A1E">
            <w:pPr>
              <w:pStyle w:val="ListParagraph"/>
              <w:ind w:left="0"/>
              <w:jc w:val="center"/>
              <w:rPr>
                <w:b/>
                <w:bCs/>
                <w:szCs w:val="24"/>
              </w:rPr>
            </w:pPr>
            <w:r w:rsidRPr="00D27A1E">
              <w:rPr>
                <w:b/>
                <w:bCs/>
                <w:color w:val="000000"/>
                <w:sz w:val="22"/>
              </w:rPr>
              <w:t>590</w:t>
            </w:r>
          </w:p>
        </w:tc>
      </w:tr>
    </w:tbl>
    <w:p w14:paraId="39B6F1B7" w14:textId="77777777" w:rsidR="0046745E" w:rsidRDefault="0046745E" w:rsidP="007503A9"/>
    <w:p w14:paraId="738F3EAA" w14:textId="40F96486" w:rsidR="001534CF" w:rsidRDefault="00144B7D" w:rsidP="00494FEF">
      <w:pPr>
        <w:pStyle w:val="ListParagraph"/>
        <w:ind w:left="0"/>
        <w:rPr>
          <w:szCs w:val="24"/>
        </w:rPr>
      </w:pPr>
      <w:r>
        <w:rPr>
          <w:szCs w:val="24"/>
        </w:rPr>
        <w:t xml:space="preserve">From 2013-2019, deficit reductions attributable to the CPNRD canal recharge project represented 46% of return flows reaching Grand Island, 38% of lagged accretions at the river, and 16% of the volume recharged. </w:t>
      </w:r>
    </w:p>
    <w:p w14:paraId="7D77113E" w14:textId="77777777" w:rsidR="007A2D7B" w:rsidRDefault="007A2D7B" w:rsidP="00494FEF">
      <w:pPr>
        <w:pStyle w:val="ListParagraph"/>
        <w:ind w:left="0"/>
        <w:rPr>
          <w:szCs w:val="24"/>
        </w:rPr>
      </w:pPr>
    </w:p>
    <w:p w14:paraId="1FC44550" w14:textId="253637C1" w:rsidR="00C81C6A" w:rsidRPr="00150A19" w:rsidRDefault="00C35018" w:rsidP="00494FEF">
      <w:pPr>
        <w:pStyle w:val="ListParagraph"/>
        <w:ind w:left="0"/>
        <w:rPr>
          <w:szCs w:val="24"/>
        </w:rPr>
      </w:pPr>
      <w:r>
        <w:rPr>
          <w:szCs w:val="24"/>
        </w:rPr>
        <w:lastRenderedPageBreak/>
        <w:t>A new WSA between the Program and CPNRD dated September 25, 2019, modified the approach to billing for the canal recharge project starting in 2020</w:t>
      </w:r>
      <w:r w:rsidR="00FB403D">
        <w:rPr>
          <w:rStyle w:val="FootnoteReference"/>
          <w:szCs w:val="24"/>
        </w:rPr>
        <w:footnoteReference w:id="15"/>
      </w:r>
      <w:r>
        <w:rPr>
          <w:szCs w:val="24"/>
        </w:rPr>
        <w:t>.</w:t>
      </w:r>
      <w:r w:rsidR="00FB403D">
        <w:rPr>
          <w:szCs w:val="24"/>
        </w:rPr>
        <w:t xml:space="preserve">  </w:t>
      </w:r>
      <w:r>
        <w:rPr>
          <w:szCs w:val="24"/>
        </w:rPr>
        <w:t>For consistency with the Program’s other recharge projects, CPNRD now bills for net recharge, the total amount diverted “adjusted by subtracting any deliveries or releases made and recorded by the irrigation district.”  Net recharge in 2020 included 2,475 AF for Thirty Mile and 475 AF for Orchard-Alfalfa, for a total of 2,950 AF.  The return flow functions from CPNRD’s old</w:t>
      </w:r>
      <w:r w:rsidR="004A295A">
        <w:rPr>
          <w:szCs w:val="24"/>
        </w:rPr>
        <w:t xml:space="preserve"> (2017 and earlier)</w:t>
      </w:r>
      <w:r>
        <w:rPr>
          <w:szCs w:val="24"/>
        </w:rPr>
        <w:t xml:space="preserve"> recharge analysis spreadsheets </w:t>
      </w:r>
      <w:r w:rsidR="00EB62D7">
        <w:rPr>
          <w:szCs w:val="24"/>
        </w:rPr>
        <w:t>will not be used to calculate lagged accretions occurring after 2019</w:t>
      </w:r>
      <w:r w:rsidR="0073495C">
        <w:rPr>
          <w:szCs w:val="24"/>
        </w:rPr>
        <w:t>.  N</w:t>
      </w:r>
      <w:r>
        <w:rPr>
          <w:szCs w:val="24"/>
        </w:rPr>
        <w:t>ew URFs</w:t>
      </w:r>
      <w:r w:rsidR="0073495C">
        <w:rPr>
          <w:szCs w:val="24"/>
        </w:rPr>
        <w:t xml:space="preserve"> for CPNRD canal recharge will be developed based on the current version of COHYST, but the COHYST models are undergoing revisions that have not yet been completed</w:t>
      </w:r>
      <w:r>
        <w:rPr>
          <w:szCs w:val="24"/>
        </w:rPr>
        <w:t>.</w:t>
      </w:r>
    </w:p>
    <w:p w14:paraId="354936F9" w14:textId="77777777" w:rsidR="00494FEF" w:rsidRDefault="00494FEF" w:rsidP="00B9798C">
      <w:pPr>
        <w:pStyle w:val="ListParagraph"/>
        <w:numPr>
          <w:ilvl w:val="0"/>
          <w:numId w:val="4"/>
        </w:numPr>
        <w:spacing w:before="240" w:after="240"/>
        <w:rPr>
          <w:b/>
        </w:rPr>
      </w:pPr>
      <w:r>
        <w:rPr>
          <w:b/>
        </w:rPr>
        <w:t>NPPD Canal Recharge</w:t>
      </w:r>
    </w:p>
    <w:p w14:paraId="54CEAF7E" w14:textId="11BC1F53" w:rsidR="00494FEF" w:rsidRDefault="00F56730" w:rsidP="00494FEF">
      <w:pPr>
        <w:rPr>
          <w:szCs w:val="24"/>
        </w:rPr>
      </w:pPr>
      <w:r>
        <w:rPr>
          <w:szCs w:val="24"/>
        </w:rPr>
        <w:t xml:space="preserve">The Program first signed a WSA with NPPD for </w:t>
      </w:r>
      <w:r w:rsidR="007E318D">
        <w:rPr>
          <w:szCs w:val="24"/>
        </w:rPr>
        <w:t xml:space="preserve">groundwater recharge in the Gothenburg and Dawson County </w:t>
      </w:r>
      <w:r w:rsidR="000D007F">
        <w:rPr>
          <w:szCs w:val="24"/>
        </w:rPr>
        <w:t>c</w:t>
      </w:r>
      <w:r w:rsidR="007E318D">
        <w:rPr>
          <w:szCs w:val="24"/>
        </w:rPr>
        <w:t>anals in 2015, and non-irrigation season diversions of excess flows were first made in September of that year.  In order to operate the recharge project each year, NPPD must apply for and secure new temporary diversion permits from NDNR.</w:t>
      </w:r>
      <w:r w:rsidR="006B3306">
        <w:rPr>
          <w:szCs w:val="24"/>
        </w:rPr>
        <w:t xml:space="preserve">  The Gothenburg Canal</w:t>
      </w:r>
      <w:r w:rsidR="00B75751">
        <w:rPr>
          <w:szCs w:val="24"/>
        </w:rPr>
        <w:t xml:space="preserve"> typically</w:t>
      </w:r>
      <w:r w:rsidR="006B3306">
        <w:rPr>
          <w:szCs w:val="24"/>
        </w:rPr>
        <w:t xml:space="preserve"> does not divert in the spring</w:t>
      </w:r>
      <w:r w:rsidR="00B75751">
        <w:rPr>
          <w:szCs w:val="24"/>
        </w:rPr>
        <w:t xml:space="preserve"> to recharge for the Program</w:t>
      </w:r>
      <w:r w:rsidR="006B3306">
        <w:rPr>
          <w:szCs w:val="24"/>
        </w:rPr>
        <w:t xml:space="preserve"> because of obligations to deliver water to B-1 Reservoir.  Both canals can divert in the fall if excess flows are available.  Overall, from 2015-2020, 88 percent of NPPD recharge occurred in the fall and 12 percent in the spring.</w:t>
      </w:r>
      <w:r w:rsidR="00E842C7">
        <w:rPr>
          <w:szCs w:val="24"/>
        </w:rPr>
        <w:t xml:space="preserve">  </w:t>
      </w:r>
    </w:p>
    <w:p w14:paraId="7F8A5759" w14:textId="7945FC78" w:rsidR="00D7641D" w:rsidRDefault="00D7641D" w:rsidP="00494FEF">
      <w:pPr>
        <w:rPr>
          <w:szCs w:val="24"/>
        </w:rPr>
      </w:pPr>
    </w:p>
    <w:p w14:paraId="01B38CCF" w14:textId="3E49EAED" w:rsidR="00354C75" w:rsidRDefault="00D7641D">
      <w:pPr>
        <w:rPr>
          <w:b/>
          <w:sz w:val="22"/>
        </w:rPr>
      </w:pPr>
      <w:r>
        <w:rPr>
          <w:szCs w:val="24"/>
        </w:rPr>
        <w:t>Per the terms of the</w:t>
      </w:r>
      <w:r w:rsidR="001D4C5C">
        <w:rPr>
          <w:szCs w:val="24"/>
        </w:rPr>
        <w:t xml:space="preserve"> current</w:t>
      </w:r>
      <w:r>
        <w:rPr>
          <w:szCs w:val="24"/>
        </w:rPr>
        <w:t xml:space="preserve"> WSA</w:t>
      </w:r>
      <w:r w:rsidR="001D4C5C">
        <w:rPr>
          <w:szCs w:val="24"/>
        </w:rPr>
        <w:t xml:space="preserve"> that went into effect on January 1, 2020</w:t>
      </w:r>
      <w:r w:rsidR="001D4C5C">
        <w:rPr>
          <w:rStyle w:val="FootnoteReference"/>
          <w:szCs w:val="24"/>
        </w:rPr>
        <w:footnoteReference w:id="16"/>
      </w:r>
      <w:r w:rsidR="001D4C5C">
        <w:rPr>
          <w:szCs w:val="24"/>
        </w:rPr>
        <w:t xml:space="preserve">,  </w:t>
      </w:r>
      <w:r>
        <w:rPr>
          <w:szCs w:val="24"/>
        </w:rPr>
        <w:t xml:space="preserve">NPPD bills the Program for net recharge, calculated as diversions measured at the canal headgates minus measured returns.  </w:t>
      </w:r>
      <w:r w:rsidR="00533425" w:rsidRPr="00533425">
        <w:rPr>
          <w:b/>
          <w:szCs w:val="24"/>
        </w:rPr>
        <w:t xml:space="preserve">Table </w:t>
      </w:r>
      <w:r w:rsidR="00170955">
        <w:rPr>
          <w:b/>
          <w:szCs w:val="24"/>
        </w:rPr>
        <w:t>12</w:t>
      </w:r>
      <w:r w:rsidR="00E27C8F">
        <w:rPr>
          <w:szCs w:val="24"/>
        </w:rPr>
        <w:t xml:space="preserve"> </w:t>
      </w:r>
      <w:r w:rsidR="00533425">
        <w:rPr>
          <w:szCs w:val="24"/>
        </w:rPr>
        <w:t xml:space="preserve">shows the diversion and </w:t>
      </w:r>
      <w:r w:rsidR="009420EB">
        <w:rPr>
          <w:szCs w:val="24"/>
        </w:rPr>
        <w:t xml:space="preserve">net </w:t>
      </w:r>
      <w:r w:rsidR="00533425">
        <w:rPr>
          <w:szCs w:val="24"/>
        </w:rPr>
        <w:t>recharge volumes for the NPPD canals.</w:t>
      </w:r>
      <w:r w:rsidR="00F631C1">
        <w:rPr>
          <w:szCs w:val="24"/>
        </w:rPr>
        <w:t xml:space="preserve">  </w:t>
      </w:r>
      <w:r w:rsidR="00F631C1">
        <w:t>Both are shown because NPPD billed the Program for total diversions in 2015 and 2016.  Starting in 2017, NPPD billed for net recharge even though the WSA in effect from 2017-2019 did not explicitly include such a requirement</w:t>
      </w:r>
      <w:r w:rsidR="007E5755">
        <w:rPr>
          <w:rStyle w:val="FootnoteReference"/>
        </w:rPr>
        <w:footnoteReference w:id="17"/>
      </w:r>
      <w:r w:rsidR="00F631C1">
        <w:t xml:space="preserve">.  </w:t>
      </w:r>
      <w:r w:rsidR="00150A19">
        <w:rPr>
          <w:szCs w:val="24"/>
        </w:rPr>
        <w:t>Values are based on invoices and supporting data submitted to the Program, as well as recharge reports prepared by NPPD for the NDNR.</w:t>
      </w:r>
      <w:r w:rsidR="00354C75">
        <w:rPr>
          <w:b/>
          <w:sz w:val="22"/>
        </w:rPr>
        <w:br w:type="page"/>
      </w:r>
    </w:p>
    <w:p w14:paraId="4810EED3" w14:textId="5EB5DB86" w:rsidR="00533425" w:rsidRPr="00D70C11" w:rsidRDefault="00F833FF" w:rsidP="00494FEF">
      <w:pPr>
        <w:rPr>
          <w:b/>
          <w:sz w:val="22"/>
        </w:rPr>
      </w:pPr>
      <w:r w:rsidRPr="00D70C11">
        <w:rPr>
          <w:b/>
          <w:sz w:val="22"/>
        </w:rPr>
        <w:lastRenderedPageBreak/>
        <w:t xml:space="preserve">Table </w:t>
      </w:r>
      <w:r w:rsidR="00170955">
        <w:rPr>
          <w:b/>
          <w:sz w:val="22"/>
        </w:rPr>
        <w:t>12</w:t>
      </w:r>
      <w:r w:rsidRPr="00D70C11">
        <w:rPr>
          <w:b/>
          <w:sz w:val="22"/>
        </w:rPr>
        <w:t>.  NPPD Canal Diversions and Net Recharge</w:t>
      </w:r>
    </w:p>
    <w:tbl>
      <w:tblPr>
        <w:tblStyle w:val="TableGrid"/>
        <w:tblW w:w="0" w:type="auto"/>
        <w:tblLook w:val="04A0" w:firstRow="1" w:lastRow="0" w:firstColumn="1" w:lastColumn="0" w:noHBand="0" w:noVBand="1"/>
      </w:tblPr>
      <w:tblGrid>
        <w:gridCol w:w="1335"/>
        <w:gridCol w:w="1335"/>
        <w:gridCol w:w="1336"/>
        <w:gridCol w:w="1336"/>
        <w:gridCol w:w="1336"/>
        <w:gridCol w:w="1336"/>
        <w:gridCol w:w="1336"/>
      </w:tblGrid>
      <w:tr w:rsidR="000D007F" w14:paraId="7F0C9980" w14:textId="77777777" w:rsidTr="00F347CB">
        <w:tc>
          <w:tcPr>
            <w:tcW w:w="1335" w:type="dxa"/>
            <w:vMerge w:val="restart"/>
            <w:shd w:val="clear" w:color="auto" w:fill="C2D69B" w:themeFill="accent3" w:themeFillTint="99"/>
            <w:vAlign w:val="bottom"/>
          </w:tcPr>
          <w:p w14:paraId="4DD6C962" w14:textId="31ECB51D" w:rsidR="000D007F" w:rsidRPr="000D007F" w:rsidRDefault="000D007F" w:rsidP="00F347CB">
            <w:pPr>
              <w:jc w:val="center"/>
              <w:rPr>
                <w:b/>
                <w:bCs/>
                <w:sz w:val="22"/>
              </w:rPr>
            </w:pPr>
            <w:r w:rsidRPr="000D007F">
              <w:rPr>
                <w:b/>
                <w:bCs/>
                <w:sz w:val="22"/>
              </w:rPr>
              <w:t>Year</w:t>
            </w:r>
          </w:p>
        </w:tc>
        <w:tc>
          <w:tcPr>
            <w:tcW w:w="2671" w:type="dxa"/>
            <w:gridSpan w:val="2"/>
            <w:shd w:val="clear" w:color="auto" w:fill="C2D69B" w:themeFill="accent3" w:themeFillTint="99"/>
            <w:vAlign w:val="bottom"/>
          </w:tcPr>
          <w:p w14:paraId="34D8D00E" w14:textId="420AE2CE" w:rsidR="000D007F" w:rsidRPr="000D007F" w:rsidRDefault="000D007F" w:rsidP="00F347CB">
            <w:pPr>
              <w:jc w:val="center"/>
              <w:rPr>
                <w:b/>
                <w:bCs/>
                <w:sz w:val="22"/>
              </w:rPr>
            </w:pPr>
            <w:r w:rsidRPr="000D007F">
              <w:rPr>
                <w:b/>
                <w:bCs/>
                <w:sz w:val="22"/>
              </w:rPr>
              <w:t>Gothenburg Canal</w:t>
            </w:r>
          </w:p>
        </w:tc>
        <w:tc>
          <w:tcPr>
            <w:tcW w:w="2672" w:type="dxa"/>
            <w:gridSpan w:val="2"/>
            <w:shd w:val="clear" w:color="auto" w:fill="C2D69B" w:themeFill="accent3" w:themeFillTint="99"/>
            <w:vAlign w:val="bottom"/>
          </w:tcPr>
          <w:p w14:paraId="6694F86F" w14:textId="662B58E9" w:rsidR="000D007F" w:rsidRPr="000D007F" w:rsidRDefault="000D007F" w:rsidP="00F347CB">
            <w:pPr>
              <w:jc w:val="center"/>
              <w:rPr>
                <w:b/>
                <w:bCs/>
                <w:sz w:val="22"/>
              </w:rPr>
            </w:pPr>
            <w:r w:rsidRPr="000D007F">
              <w:rPr>
                <w:b/>
                <w:bCs/>
                <w:sz w:val="22"/>
              </w:rPr>
              <w:t>Dawson County Canal</w:t>
            </w:r>
          </w:p>
        </w:tc>
        <w:tc>
          <w:tcPr>
            <w:tcW w:w="2672" w:type="dxa"/>
            <w:gridSpan w:val="2"/>
            <w:shd w:val="clear" w:color="auto" w:fill="C2D69B" w:themeFill="accent3" w:themeFillTint="99"/>
            <w:vAlign w:val="bottom"/>
          </w:tcPr>
          <w:p w14:paraId="6453D483" w14:textId="7B448991" w:rsidR="000D007F" w:rsidRPr="000D007F" w:rsidRDefault="000D007F" w:rsidP="00F347CB">
            <w:pPr>
              <w:jc w:val="center"/>
              <w:rPr>
                <w:b/>
                <w:bCs/>
                <w:sz w:val="22"/>
              </w:rPr>
            </w:pPr>
            <w:r w:rsidRPr="000D007F">
              <w:rPr>
                <w:b/>
                <w:bCs/>
                <w:sz w:val="22"/>
              </w:rPr>
              <w:t>NPPD Total</w:t>
            </w:r>
          </w:p>
        </w:tc>
      </w:tr>
      <w:tr w:rsidR="000D007F" w14:paraId="182FA02A" w14:textId="77777777" w:rsidTr="00F347CB">
        <w:tc>
          <w:tcPr>
            <w:tcW w:w="1335" w:type="dxa"/>
            <w:vMerge/>
            <w:shd w:val="clear" w:color="auto" w:fill="C2D69B" w:themeFill="accent3" w:themeFillTint="99"/>
            <w:vAlign w:val="bottom"/>
          </w:tcPr>
          <w:p w14:paraId="148ECDCD" w14:textId="77777777" w:rsidR="000D007F" w:rsidRPr="000D007F" w:rsidRDefault="000D007F" w:rsidP="00F347CB">
            <w:pPr>
              <w:jc w:val="center"/>
              <w:rPr>
                <w:b/>
                <w:bCs/>
                <w:sz w:val="22"/>
              </w:rPr>
            </w:pPr>
          </w:p>
        </w:tc>
        <w:tc>
          <w:tcPr>
            <w:tcW w:w="1335" w:type="dxa"/>
            <w:shd w:val="clear" w:color="auto" w:fill="C2D69B" w:themeFill="accent3" w:themeFillTint="99"/>
            <w:vAlign w:val="bottom"/>
          </w:tcPr>
          <w:p w14:paraId="443552EC" w14:textId="77777777" w:rsidR="000D007F" w:rsidRPr="000D007F" w:rsidRDefault="000D007F" w:rsidP="00F347CB">
            <w:pPr>
              <w:jc w:val="center"/>
              <w:rPr>
                <w:b/>
                <w:bCs/>
                <w:sz w:val="22"/>
              </w:rPr>
            </w:pPr>
            <w:r w:rsidRPr="000D007F">
              <w:rPr>
                <w:b/>
                <w:bCs/>
                <w:sz w:val="22"/>
              </w:rPr>
              <w:t>Diversions</w:t>
            </w:r>
          </w:p>
          <w:p w14:paraId="4579E300" w14:textId="71BE5E77" w:rsidR="000D007F" w:rsidRPr="000D007F" w:rsidRDefault="000D007F" w:rsidP="00F347CB">
            <w:pPr>
              <w:jc w:val="center"/>
              <w:rPr>
                <w:b/>
                <w:bCs/>
                <w:sz w:val="22"/>
              </w:rPr>
            </w:pPr>
            <w:r w:rsidRPr="000D007F">
              <w:rPr>
                <w:b/>
                <w:bCs/>
                <w:sz w:val="22"/>
              </w:rPr>
              <w:t>(AF)</w:t>
            </w:r>
          </w:p>
        </w:tc>
        <w:tc>
          <w:tcPr>
            <w:tcW w:w="1336" w:type="dxa"/>
            <w:shd w:val="clear" w:color="auto" w:fill="C2D69B" w:themeFill="accent3" w:themeFillTint="99"/>
            <w:vAlign w:val="bottom"/>
          </w:tcPr>
          <w:p w14:paraId="7006534F" w14:textId="42FCFA6C" w:rsidR="000D007F" w:rsidRPr="000D007F" w:rsidRDefault="000D007F" w:rsidP="00F347CB">
            <w:pPr>
              <w:jc w:val="center"/>
              <w:rPr>
                <w:b/>
                <w:bCs/>
                <w:sz w:val="22"/>
              </w:rPr>
            </w:pPr>
            <w:r w:rsidRPr="000D007F">
              <w:rPr>
                <w:b/>
                <w:bCs/>
                <w:sz w:val="22"/>
              </w:rPr>
              <w:t>Net Recharge (AF)</w:t>
            </w:r>
          </w:p>
        </w:tc>
        <w:tc>
          <w:tcPr>
            <w:tcW w:w="1336" w:type="dxa"/>
            <w:shd w:val="clear" w:color="auto" w:fill="C2D69B" w:themeFill="accent3" w:themeFillTint="99"/>
            <w:vAlign w:val="bottom"/>
          </w:tcPr>
          <w:p w14:paraId="79405551" w14:textId="77777777" w:rsidR="000D007F" w:rsidRPr="000D007F" w:rsidRDefault="000D007F" w:rsidP="00F347CB">
            <w:pPr>
              <w:jc w:val="center"/>
              <w:rPr>
                <w:b/>
                <w:bCs/>
                <w:sz w:val="22"/>
              </w:rPr>
            </w:pPr>
            <w:r w:rsidRPr="000D007F">
              <w:rPr>
                <w:b/>
                <w:bCs/>
                <w:sz w:val="22"/>
              </w:rPr>
              <w:t>Diversions</w:t>
            </w:r>
          </w:p>
          <w:p w14:paraId="3DB6F583" w14:textId="3415EEAD" w:rsidR="000D007F" w:rsidRPr="000D007F" w:rsidRDefault="000D007F" w:rsidP="00F347CB">
            <w:pPr>
              <w:jc w:val="center"/>
              <w:rPr>
                <w:b/>
                <w:bCs/>
                <w:sz w:val="22"/>
              </w:rPr>
            </w:pPr>
            <w:r w:rsidRPr="000D007F">
              <w:rPr>
                <w:b/>
                <w:bCs/>
                <w:sz w:val="22"/>
              </w:rPr>
              <w:t>(AF)</w:t>
            </w:r>
          </w:p>
        </w:tc>
        <w:tc>
          <w:tcPr>
            <w:tcW w:w="1336" w:type="dxa"/>
            <w:shd w:val="clear" w:color="auto" w:fill="C2D69B" w:themeFill="accent3" w:themeFillTint="99"/>
            <w:vAlign w:val="bottom"/>
          </w:tcPr>
          <w:p w14:paraId="2EF56727" w14:textId="48722C34" w:rsidR="000D007F" w:rsidRPr="000D007F" w:rsidRDefault="000D007F" w:rsidP="00F347CB">
            <w:pPr>
              <w:jc w:val="center"/>
              <w:rPr>
                <w:b/>
                <w:bCs/>
                <w:sz w:val="22"/>
              </w:rPr>
            </w:pPr>
            <w:r w:rsidRPr="000D007F">
              <w:rPr>
                <w:b/>
                <w:bCs/>
                <w:sz w:val="22"/>
              </w:rPr>
              <w:t>Net Recharge (AF)</w:t>
            </w:r>
          </w:p>
        </w:tc>
        <w:tc>
          <w:tcPr>
            <w:tcW w:w="1336" w:type="dxa"/>
            <w:shd w:val="clear" w:color="auto" w:fill="C2D69B" w:themeFill="accent3" w:themeFillTint="99"/>
            <w:vAlign w:val="bottom"/>
          </w:tcPr>
          <w:p w14:paraId="47ECECE9" w14:textId="77777777" w:rsidR="000D007F" w:rsidRPr="000D007F" w:rsidRDefault="000D007F" w:rsidP="00F347CB">
            <w:pPr>
              <w:jc w:val="center"/>
              <w:rPr>
                <w:b/>
                <w:bCs/>
                <w:sz w:val="22"/>
              </w:rPr>
            </w:pPr>
            <w:r w:rsidRPr="000D007F">
              <w:rPr>
                <w:b/>
                <w:bCs/>
                <w:sz w:val="22"/>
              </w:rPr>
              <w:t>Diversions</w:t>
            </w:r>
          </w:p>
          <w:p w14:paraId="1782FE5D" w14:textId="6749746B" w:rsidR="000D007F" w:rsidRPr="000D007F" w:rsidRDefault="000D007F" w:rsidP="00F347CB">
            <w:pPr>
              <w:jc w:val="center"/>
              <w:rPr>
                <w:b/>
                <w:bCs/>
                <w:sz w:val="22"/>
              </w:rPr>
            </w:pPr>
            <w:r w:rsidRPr="000D007F">
              <w:rPr>
                <w:b/>
                <w:bCs/>
                <w:sz w:val="22"/>
              </w:rPr>
              <w:t>(AF)</w:t>
            </w:r>
          </w:p>
        </w:tc>
        <w:tc>
          <w:tcPr>
            <w:tcW w:w="1336" w:type="dxa"/>
            <w:shd w:val="clear" w:color="auto" w:fill="C2D69B" w:themeFill="accent3" w:themeFillTint="99"/>
            <w:vAlign w:val="bottom"/>
          </w:tcPr>
          <w:p w14:paraId="1764FC4C" w14:textId="08041B8B" w:rsidR="000D007F" w:rsidRPr="000D007F" w:rsidRDefault="000D007F" w:rsidP="00F347CB">
            <w:pPr>
              <w:jc w:val="center"/>
              <w:rPr>
                <w:b/>
                <w:bCs/>
                <w:sz w:val="22"/>
              </w:rPr>
            </w:pPr>
            <w:r w:rsidRPr="000D007F">
              <w:rPr>
                <w:b/>
                <w:bCs/>
                <w:sz w:val="22"/>
              </w:rPr>
              <w:t>Net Recharge (AF)</w:t>
            </w:r>
          </w:p>
        </w:tc>
      </w:tr>
      <w:tr w:rsidR="000D007F" w14:paraId="215D494C" w14:textId="77777777" w:rsidTr="000D007F">
        <w:trPr>
          <w:trHeight w:val="288"/>
        </w:trPr>
        <w:tc>
          <w:tcPr>
            <w:tcW w:w="1335" w:type="dxa"/>
            <w:vAlign w:val="center"/>
          </w:tcPr>
          <w:p w14:paraId="2169C3A1" w14:textId="5C15E5E9" w:rsidR="000D007F" w:rsidRPr="000D007F" w:rsidRDefault="000D007F" w:rsidP="000D007F">
            <w:pPr>
              <w:jc w:val="center"/>
              <w:rPr>
                <w:sz w:val="22"/>
              </w:rPr>
            </w:pPr>
            <w:r w:rsidRPr="000D007F">
              <w:rPr>
                <w:color w:val="000000"/>
                <w:sz w:val="22"/>
              </w:rPr>
              <w:t>2015</w:t>
            </w:r>
          </w:p>
        </w:tc>
        <w:tc>
          <w:tcPr>
            <w:tcW w:w="1335" w:type="dxa"/>
            <w:vAlign w:val="center"/>
          </w:tcPr>
          <w:p w14:paraId="7182C257" w14:textId="4F2209B7" w:rsidR="000D007F" w:rsidRPr="000D007F" w:rsidRDefault="000D007F" w:rsidP="000D007F">
            <w:pPr>
              <w:jc w:val="center"/>
              <w:rPr>
                <w:sz w:val="22"/>
              </w:rPr>
            </w:pPr>
            <w:r w:rsidRPr="000D007F">
              <w:rPr>
                <w:color w:val="000000"/>
                <w:sz w:val="22"/>
              </w:rPr>
              <w:t>1,609</w:t>
            </w:r>
          </w:p>
        </w:tc>
        <w:tc>
          <w:tcPr>
            <w:tcW w:w="1336" w:type="dxa"/>
            <w:vAlign w:val="center"/>
          </w:tcPr>
          <w:p w14:paraId="40666F0E" w14:textId="67DB84CC" w:rsidR="000D007F" w:rsidRPr="000D007F" w:rsidRDefault="000D007F" w:rsidP="000D007F">
            <w:pPr>
              <w:jc w:val="center"/>
              <w:rPr>
                <w:sz w:val="22"/>
              </w:rPr>
            </w:pPr>
            <w:r w:rsidRPr="000D007F">
              <w:rPr>
                <w:color w:val="000000"/>
                <w:sz w:val="22"/>
              </w:rPr>
              <w:t>1,525</w:t>
            </w:r>
          </w:p>
        </w:tc>
        <w:tc>
          <w:tcPr>
            <w:tcW w:w="1336" w:type="dxa"/>
            <w:vAlign w:val="center"/>
          </w:tcPr>
          <w:p w14:paraId="34BF31D8" w14:textId="6B8285B6" w:rsidR="000D007F" w:rsidRPr="000D007F" w:rsidRDefault="000D007F" w:rsidP="000D007F">
            <w:pPr>
              <w:jc w:val="center"/>
              <w:rPr>
                <w:sz w:val="22"/>
              </w:rPr>
            </w:pPr>
            <w:r w:rsidRPr="000D007F">
              <w:rPr>
                <w:color w:val="000000"/>
                <w:sz w:val="22"/>
              </w:rPr>
              <w:t>3,303</w:t>
            </w:r>
          </w:p>
        </w:tc>
        <w:tc>
          <w:tcPr>
            <w:tcW w:w="1336" w:type="dxa"/>
            <w:vAlign w:val="center"/>
          </w:tcPr>
          <w:p w14:paraId="25E8096E" w14:textId="09507DC6" w:rsidR="000D007F" w:rsidRPr="000D007F" w:rsidRDefault="000D007F" w:rsidP="000D007F">
            <w:pPr>
              <w:jc w:val="center"/>
              <w:rPr>
                <w:sz w:val="22"/>
              </w:rPr>
            </w:pPr>
            <w:r w:rsidRPr="000D007F">
              <w:rPr>
                <w:color w:val="000000"/>
                <w:sz w:val="22"/>
              </w:rPr>
              <w:t>2,845</w:t>
            </w:r>
          </w:p>
        </w:tc>
        <w:tc>
          <w:tcPr>
            <w:tcW w:w="1336" w:type="dxa"/>
            <w:vAlign w:val="center"/>
          </w:tcPr>
          <w:p w14:paraId="51BE9242" w14:textId="6FF5C2B5" w:rsidR="000D007F" w:rsidRPr="000D007F" w:rsidRDefault="000D007F" w:rsidP="000D007F">
            <w:pPr>
              <w:jc w:val="center"/>
              <w:rPr>
                <w:sz w:val="22"/>
              </w:rPr>
            </w:pPr>
            <w:r w:rsidRPr="000D007F">
              <w:rPr>
                <w:color w:val="000000"/>
                <w:sz w:val="22"/>
              </w:rPr>
              <w:t>4,912</w:t>
            </w:r>
          </w:p>
        </w:tc>
        <w:tc>
          <w:tcPr>
            <w:tcW w:w="1336" w:type="dxa"/>
            <w:vAlign w:val="center"/>
          </w:tcPr>
          <w:p w14:paraId="16FDCAE4" w14:textId="423B9948" w:rsidR="000D007F" w:rsidRPr="000D007F" w:rsidRDefault="000D007F" w:rsidP="000D007F">
            <w:pPr>
              <w:jc w:val="center"/>
              <w:rPr>
                <w:sz w:val="22"/>
              </w:rPr>
            </w:pPr>
            <w:r w:rsidRPr="000D007F">
              <w:rPr>
                <w:color w:val="000000"/>
                <w:sz w:val="22"/>
              </w:rPr>
              <w:t>4,370</w:t>
            </w:r>
          </w:p>
        </w:tc>
      </w:tr>
      <w:tr w:rsidR="000D007F" w14:paraId="2D289127" w14:textId="77777777" w:rsidTr="000D007F">
        <w:trPr>
          <w:trHeight w:val="288"/>
        </w:trPr>
        <w:tc>
          <w:tcPr>
            <w:tcW w:w="1335" w:type="dxa"/>
            <w:vAlign w:val="center"/>
          </w:tcPr>
          <w:p w14:paraId="12D1B27E" w14:textId="03743EFE" w:rsidR="000D007F" w:rsidRPr="000D007F" w:rsidRDefault="000D007F" w:rsidP="000D007F">
            <w:pPr>
              <w:jc w:val="center"/>
              <w:rPr>
                <w:sz w:val="22"/>
              </w:rPr>
            </w:pPr>
            <w:r w:rsidRPr="000D007F">
              <w:rPr>
                <w:color w:val="000000"/>
                <w:sz w:val="22"/>
              </w:rPr>
              <w:t>2016</w:t>
            </w:r>
          </w:p>
        </w:tc>
        <w:tc>
          <w:tcPr>
            <w:tcW w:w="1335" w:type="dxa"/>
            <w:vAlign w:val="center"/>
          </w:tcPr>
          <w:p w14:paraId="11B94300" w14:textId="1DA155F7" w:rsidR="000D007F" w:rsidRPr="000D007F" w:rsidRDefault="000D007F" w:rsidP="000D007F">
            <w:pPr>
              <w:jc w:val="center"/>
              <w:rPr>
                <w:sz w:val="22"/>
              </w:rPr>
            </w:pPr>
            <w:r w:rsidRPr="000D007F">
              <w:rPr>
                <w:color w:val="000000"/>
                <w:sz w:val="22"/>
              </w:rPr>
              <w:t>6,019</w:t>
            </w:r>
          </w:p>
        </w:tc>
        <w:tc>
          <w:tcPr>
            <w:tcW w:w="1336" w:type="dxa"/>
            <w:vAlign w:val="center"/>
          </w:tcPr>
          <w:p w14:paraId="0B4C0576" w14:textId="516BA757" w:rsidR="000D007F" w:rsidRPr="000D007F" w:rsidRDefault="000D007F" w:rsidP="000D007F">
            <w:pPr>
              <w:jc w:val="center"/>
              <w:rPr>
                <w:sz w:val="22"/>
              </w:rPr>
            </w:pPr>
            <w:r w:rsidRPr="000D007F">
              <w:rPr>
                <w:color w:val="000000"/>
                <w:sz w:val="22"/>
              </w:rPr>
              <w:t>4,653</w:t>
            </w:r>
          </w:p>
        </w:tc>
        <w:tc>
          <w:tcPr>
            <w:tcW w:w="1336" w:type="dxa"/>
            <w:vAlign w:val="center"/>
          </w:tcPr>
          <w:p w14:paraId="7E7A24A7" w14:textId="29FFA0CE" w:rsidR="000D007F" w:rsidRPr="000D007F" w:rsidRDefault="000D007F" w:rsidP="000D007F">
            <w:pPr>
              <w:jc w:val="center"/>
              <w:rPr>
                <w:sz w:val="22"/>
              </w:rPr>
            </w:pPr>
            <w:r w:rsidRPr="000D007F">
              <w:rPr>
                <w:color w:val="000000"/>
                <w:sz w:val="22"/>
              </w:rPr>
              <w:t>7,025</w:t>
            </w:r>
          </w:p>
        </w:tc>
        <w:tc>
          <w:tcPr>
            <w:tcW w:w="1336" w:type="dxa"/>
            <w:vAlign w:val="center"/>
          </w:tcPr>
          <w:p w14:paraId="2EDD21FD" w14:textId="4EC8BD67" w:rsidR="000D007F" w:rsidRPr="000D007F" w:rsidRDefault="000D007F" w:rsidP="000D007F">
            <w:pPr>
              <w:jc w:val="center"/>
              <w:rPr>
                <w:sz w:val="22"/>
              </w:rPr>
            </w:pPr>
            <w:r w:rsidRPr="000D007F">
              <w:rPr>
                <w:color w:val="000000"/>
                <w:sz w:val="22"/>
              </w:rPr>
              <w:t>4,780</w:t>
            </w:r>
          </w:p>
        </w:tc>
        <w:tc>
          <w:tcPr>
            <w:tcW w:w="1336" w:type="dxa"/>
            <w:vAlign w:val="center"/>
          </w:tcPr>
          <w:p w14:paraId="746DC28B" w14:textId="0616E599" w:rsidR="000D007F" w:rsidRPr="000D007F" w:rsidRDefault="000D007F" w:rsidP="000D007F">
            <w:pPr>
              <w:jc w:val="center"/>
              <w:rPr>
                <w:sz w:val="22"/>
              </w:rPr>
            </w:pPr>
            <w:r w:rsidRPr="000D007F">
              <w:rPr>
                <w:color w:val="000000"/>
                <w:sz w:val="22"/>
              </w:rPr>
              <w:t>13,044</w:t>
            </w:r>
          </w:p>
        </w:tc>
        <w:tc>
          <w:tcPr>
            <w:tcW w:w="1336" w:type="dxa"/>
            <w:vAlign w:val="center"/>
          </w:tcPr>
          <w:p w14:paraId="31CD5452" w14:textId="3772D581" w:rsidR="000D007F" w:rsidRPr="000D007F" w:rsidRDefault="000D007F" w:rsidP="000D007F">
            <w:pPr>
              <w:jc w:val="center"/>
              <w:rPr>
                <w:sz w:val="22"/>
              </w:rPr>
            </w:pPr>
            <w:r w:rsidRPr="000D007F">
              <w:rPr>
                <w:color w:val="000000"/>
                <w:sz w:val="22"/>
              </w:rPr>
              <w:t>9,433</w:t>
            </w:r>
          </w:p>
        </w:tc>
      </w:tr>
      <w:tr w:rsidR="000D007F" w14:paraId="37B770FC" w14:textId="77777777" w:rsidTr="000D007F">
        <w:trPr>
          <w:trHeight w:val="288"/>
        </w:trPr>
        <w:tc>
          <w:tcPr>
            <w:tcW w:w="1335" w:type="dxa"/>
            <w:vAlign w:val="center"/>
          </w:tcPr>
          <w:p w14:paraId="085543F6" w14:textId="4B75952C" w:rsidR="000D007F" w:rsidRPr="000D007F" w:rsidRDefault="000D007F" w:rsidP="000D007F">
            <w:pPr>
              <w:jc w:val="center"/>
              <w:rPr>
                <w:sz w:val="22"/>
              </w:rPr>
            </w:pPr>
            <w:r w:rsidRPr="000D007F">
              <w:rPr>
                <w:color w:val="000000"/>
                <w:sz w:val="22"/>
              </w:rPr>
              <w:t>2017</w:t>
            </w:r>
          </w:p>
        </w:tc>
        <w:tc>
          <w:tcPr>
            <w:tcW w:w="1335" w:type="dxa"/>
            <w:vAlign w:val="center"/>
          </w:tcPr>
          <w:p w14:paraId="4A1CF016" w14:textId="78E8949E" w:rsidR="000D007F" w:rsidRPr="000D007F" w:rsidRDefault="000D007F" w:rsidP="000D007F">
            <w:pPr>
              <w:jc w:val="center"/>
              <w:rPr>
                <w:sz w:val="22"/>
              </w:rPr>
            </w:pPr>
            <w:r w:rsidRPr="000D007F">
              <w:rPr>
                <w:color w:val="000000"/>
                <w:sz w:val="22"/>
              </w:rPr>
              <w:t>0</w:t>
            </w:r>
          </w:p>
        </w:tc>
        <w:tc>
          <w:tcPr>
            <w:tcW w:w="1336" w:type="dxa"/>
            <w:vAlign w:val="center"/>
          </w:tcPr>
          <w:p w14:paraId="53334CEA" w14:textId="0D9A7739" w:rsidR="000D007F" w:rsidRPr="000D007F" w:rsidRDefault="000D007F" w:rsidP="000D007F">
            <w:pPr>
              <w:jc w:val="center"/>
              <w:rPr>
                <w:sz w:val="22"/>
              </w:rPr>
            </w:pPr>
            <w:r w:rsidRPr="000D007F">
              <w:rPr>
                <w:color w:val="000000"/>
                <w:sz w:val="22"/>
              </w:rPr>
              <w:t>0</w:t>
            </w:r>
          </w:p>
        </w:tc>
        <w:tc>
          <w:tcPr>
            <w:tcW w:w="1336" w:type="dxa"/>
            <w:vAlign w:val="center"/>
          </w:tcPr>
          <w:p w14:paraId="721A8D70" w14:textId="79DC8910" w:rsidR="000D007F" w:rsidRPr="000D007F" w:rsidRDefault="000D007F" w:rsidP="000D007F">
            <w:pPr>
              <w:jc w:val="center"/>
              <w:rPr>
                <w:sz w:val="22"/>
              </w:rPr>
            </w:pPr>
            <w:r w:rsidRPr="000D007F">
              <w:rPr>
                <w:color w:val="000000"/>
                <w:sz w:val="22"/>
              </w:rPr>
              <w:t>4,040</w:t>
            </w:r>
          </w:p>
        </w:tc>
        <w:tc>
          <w:tcPr>
            <w:tcW w:w="1336" w:type="dxa"/>
            <w:vAlign w:val="center"/>
          </w:tcPr>
          <w:p w14:paraId="7FB0F91F" w14:textId="1C833655" w:rsidR="000D007F" w:rsidRPr="000D007F" w:rsidRDefault="000D007F" w:rsidP="000D007F">
            <w:pPr>
              <w:jc w:val="center"/>
              <w:rPr>
                <w:sz w:val="22"/>
              </w:rPr>
            </w:pPr>
            <w:r w:rsidRPr="000D007F">
              <w:rPr>
                <w:color w:val="000000"/>
                <w:sz w:val="22"/>
              </w:rPr>
              <w:t>3,594</w:t>
            </w:r>
          </w:p>
        </w:tc>
        <w:tc>
          <w:tcPr>
            <w:tcW w:w="1336" w:type="dxa"/>
            <w:vAlign w:val="center"/>
          </w:tcPr>
          <w:p w14:paraId="435208C8" w14:textId="70C816BE" w:rsidR="000D007F" w:rsidRPr="000D007F" w:rsidRDefault="000D007F" w:rsidP="000D007F">
            <w:pPr>
              <w:jc w:val="center"/>
              <w:rPr>
                <w:sz w:val="22"/>
              </w:rPr>
            </w:pPr>
            <w:r w:rsidRPr="000D007F">
              <w:rPr>
                <w:color w:val="000000"/>
                <w:sz w:val="22"/>
              </w:rPr>
              <w:t>4,040</w:t>
            </w:r>
          </w:p>
        </w:tc>
        <w:tc>
          <w:tcPr>
            <w:tcW w:w="1336" w:type="dxa"/>
            <w:vAlign w:val="center"/>
          </w:tcPr>
          <w:p w14:paraId="3D27B780" w14:textId="471D7C3F" w:rsidR="000D007F" w:rsidRPr="000D007F" w:rsidRDefault="000D007F" w:rsidP="000D007F">
            <w:pPr>
              <w:jc w:val="center"/>
              <w:rPr>
                <w:sz w:val="22"/>
              </w:rPr>
            </w:pPr>
            <w:r w:rsidRPr="000D007F">
              <w:rPr>
                <w:color w:val="000000"/>
                <w:sz w:val="22"/>
              </w:rPr>
              <w:t>3,594</w:t>
            </w:r>
          </w:p>
        </w:tc>
      </w:tr>
      <w:tr w:rsidR="000D007F" w14:paraId="37357A27" w14:textId="77777777" w:rsidTr="000D007F">
        <w:trPr>
          <w:trHeight w:val="288"/>
        </w:trPr>
        <w:tc>
          <w:tcPr>
            <w:tcW w:w="1335" w:type="dxa"/>
            <w:vAlign w:val="center"/>
          </w:tcPr>
          <w:p w14:paraId="137631F7" w14:textId="5134553A" w:rsidR="000D007F" w:rsidRPr="000D007F" w:rsidRDefault="000D007F" w:rsidP="000D007F">
            <w:pPr>
              <w:jc w:val="center"/>
              <w:rPr>
                <w:sz w:val="22"/>
              </w:rPr>
            </w:pPr>
            <w:r w:rsidRPr="000D007F">
              <w:rPr>
                <w:color w:val="000000"/>
                <w:sz w:val="22"/>
              </w:rPr>
              <w:t>2018</w:t>
            </w:r>
          </w:p>
        </w:tc>
        <w:tc>
          <w:tcPr>
            <w:tcW w:w="1335" w:type="dxa"/>
            <w:vAlign w:val="center"/>
          </w:tcPr>
          <w:p w14:paraId="38678FF9" w14:textId="5FB671D4" w:rsidR="000D007F" w:rsidRPr="000D007F" w:rsidRDefault="000D007F" w:rsidP="000D007F">
            <w:pPr>
              <w:jc w:val="center"/>
              <w:rPr>
                <w:sz w:val="22"/>
              </w:rPr>
            </w:pPr>
            <w:r w:rsidRPr="000D007F">
              <w:rPr>
                <w:color w:val="000000"/>
                <w:sz w:val="22"/>
              </w:rPr>
              <w:t>680</w:t>
            </w:r>
          </w:p>
        </w:tc>
        <w:tc>
          <w:tcPr>
            <w:tcW w:w="1336" w:type="dxa"/>
            <w:vAlign w:val="center"/>
          </w:tcPr>
          <w:p w14:paraId="780B029E" w14:textId="7539B119" w:rsidR="000D007F" w:rsidRPr="000D007F" w:rsidRDefault="000D007F" w:rsidP="000D007F">
            <w:pPr>
              <w:jc w:val="center"/>
              <w:rPr>
                <w:sz w:val="22"/>
              </w:rPr>
            </w:pPr>
            <w:r w:rsidRPr="000D007F">
              <w:rPr>
                <w:color w:val="000000"/>
                <w:sz w:val="22"/>
              </w:rPr>
              <w:t>617</w:t>
            </w:r>
          </w:p>
        </w:tc>
        <w:tc>
          <w:tcPr>
            <w:tcW w:w="1336" w:type="dxa"/>
            <w:vAlign w:val="center"/>
          </w:tcPr>
          <w:p w14:paraId="59706C52" w14:textId="414BF92E" w:rsidR="000D007F" w:rsidRPr="000D007F" w:rsidRDefault="000D007F" w:rsidP="000D007F">
            <w:pPr>
              <w:jc w:val="center"/>
              <w:rPr>
                <w:sz w:val="22"/>
              </w:rPr>
            </w:pPr>
            <w:r w:rsidRPr="000D007F">
              <w:rPr>
                <w:color w:val="000000"/>
                <w:sz w:val="22"/>
              </w:rPr>
              <w:t>2,666</w:t>
            </w:r>
          </w:p>
        </w:tc>
        <w:tc>
          <w:tcPr>
            <w:tcW w:w="1336" w:type="dxa"/>
            <w:vAlign w:val="center"/>
          </w:tcPr>
          <w:p w14:paraId="48F8689F" w14:textId="1AA31F2C" w:rsidR="000D007F" w:rsidRPr="000D007F" w:rsidRDefault="000D007F" w:rsidP="000D007F">
            <w:pPr>
              <w:jc w:val="center"/>
              <w:rPr>
                <w:sz w:val="22"/>
              </w:rPr>
            </w:pPr>
            <w:r w:rsidRPr="000D007F">
              <w:rPr>
                <w:color w:val="000000"/>
                <w:sz w:val="22"/>
              </w:rPr>
              <w:t>2,084</w:t>
            </w:r>
          </w:p>
        </w:tc>
        <w:tc>
          <w:tcPr>
            <w:tcW w:w="1336" w:type="dxa"/>
            <w:vAlign w:val="center"/>
          </w:tcPr>
          <w:p w14:paraId="7CD265A3" w14:textId="7EEF9D11" w:rsidR="000D007F" w:rsidRPr="000D007F" w:rsidRDefault="000D007F" w:rsidP="000D007F">
            <w:pPr>
              <w:jc w:val="center"/>
              <w:rPr>
                <w:sz w:val="22"/>
              </w:rPr>
            </w:pPr>
            <w:r w:rsidRPr="000D007F">
              <w:rPr>
                <w:color w:val="000000"/>
                <w:sz w:val="22"/>
              </w:rPr>
              <w:t>3,346</w:t>
            </w:r>
          </w:p>
        </w:tc>
        <w:tc>
          <w:tcPr>
            <w:tcW w:w="1336" w:type="dxa"/>
            <w:vAlign w:val="center"/>
          </w:tcPr>
          <w:p w14:paraId="2E92222A" w14:textId="49699D52" w:rsidR="000D007F" w:rsidRPr="000D007F" w:rsidRDefault="000D007F" w:rsidP="000D007F">
            <w:pPr>
              <w:jc w:val="center"/>
              <w:rPr>
                <w:sz w:val="22"/>
              </w:rPr>
            </w:pPr>
            <w:r w:rsidRPr="000D007F">
              <w:rPr>
                <w:color w:val="000000"/>
                <w:sz w:val="22"/>
              </w:rPr>
              <w:t>2,701</w:t>
            </w:r>
          </w:p>
        </w:tc>
      </w:tr>
      <w:tr w:rsidR="000D007F" w14:paraId="38AA8C7E" w14:textId="77777777" w:rsidTr="000D007F">
        <w:trPr>
          <w:trHeight w:val="288"/>
        </w:trPr>
        <w:tc>
          <w:tcPr>
            <w:tcW w:w="1335" w:type="dxa"/>
            <w:vAlign w:val="center"/>
          </w:tcPr>
          <w:p w14:paraId="199BFC4B" w14:textId="73C52E46" w:rsidR="000D007F" w:rsidRPr="000D007F" w:rsidRDefault="000D007F" w:rsidP="000D007F">
            <w:pPr>
              <w:jc w:val="center"/>
              <w:rPr>
                <w:sz w:val="22"/>
              </w:rPr>
            </w:pPr>
            <w:r w:rsidRPr="000D007F">
              <w:rPr>
                <w:color w:val="000000"/>
                <w:sz w:val="22"/>
              </w:rPr>
              <w:t>2019</w:t>
            </w:r>
          </w:p>
        </w:tc>
        <w:tc>
          <w:tcPr>
            <w:tcW w:w="1335" w:type="dxa"/>
            <w:vAlign w:val="center"/>
          </w:tcPr>
          <w:p w14:paraId="102A7FB9" w14:textId="6E8D2B50" w:rsidR="000D007F" w:rsidRPr="000D007F" w:rsidRDefault="000D007F" w:rsidP="000D007F">
            <w:pPr>
              <w:jc w:val="center"/>
              <w:rPr>
                <w:sz w:val="22"/>
              </w:rPr>
            </w:pPr>
            <w:r w:rsidRPr="000D007F">
              <w:rPr>
                <w:color w:val="000000"/>
                <w:sz w:val="22"/>
              </w:rPr>
              <w:t>3,314</w:t>
            </w:r>
          </w:p>
        </w:tc>
        <w:tc>
          <w:tcPr>
            <w:tcW w:w="1336" w:type="dxa"/>
            <w:vAlign w:val="center"/>
          </w:tcPr>
          <w:p w14:paraId="497291B5" w14:textId="38C38DE1" w:rsidR="000D007F" w:rsidRPr="000D007F" w:rsidRDefault="000D007F" w:rsidP="000D007F">
            <w:pPr>
              <w:jc w:val="center"/>
              <w:rPr>
                <w:sz w:val="22"/>
              </w:rPr>
            </w:pPr>
            <w:r w:rsidRPr="000D007F">
              <w:rPr>
                <w:color w:val="000000"/>
                <w:sz w:val="22"/>
              </w:rPr>
              <w:t>2,407</w:t>
            </w:r>
          </w:p>
        </w:tc>
        <w:tc>
          <w:tcPr>
            <w:tcW w:w="1336" w:type="dxa"/>
            <w:vAlign w:val="center"/>
          </w:tcPr>
          <w:p w14:paraId="4B4C9AC1" w14:textId="4126C748" w:rsidR="000D007F" w:rsidRPr="000D007F" w:rsidRDefault="000D007F" w:rsidP="000D007F">
            <w:pPr>
              <w:jc w:val="center"/>
              <w:rPr>
                <w:sz w:val="22"/>
              </w:rPr>
            </w:pPr>
            <w:r w:rsidRPr="000D007F">
              <w:rPr>
                <w:color w:val="000000"/>
                <w:sz w:val="22"/>
              </w:rPr>
              <w:t>5,722</w:t>
            </w:r>
          </w:p>
        </w:tc>
        <w:tc>
          <w:tcPr>
            <w:tcW w:w="1336" w:type="dxa"/>
            <w:vAlign w:val="center"/>
          </w:tcPr>
          <w:p w14:paraId="54D9BB53" w14:textId="07B7E722" w:rsidR="000D007F" w:rsidRPr="000D007F" w:rsidRDefault="000D007F" w:rsidP="000D007F">
            <w:pPr>
              <w:jc w:val="center"/>
              <w:rPr>
                <w:sz w:val="22"/>
              </w:rPr>
            </w:pPr>
            <w:r w:rsidRPr="000D007F">
              <w:rPr>
                <w:color w:val="000000"/>
                <w:sz w:val="22"/>
              </w:rPr>
              <w:t>3,962</w:t>
            </w:r>
          </w:p>
        </w:tc>
        <w:tc>
          <w:tcPr>
            <w:tcW w:w="1336" w:type="dxa"/>
            <w:vAlign w:val="center"/>
          </w:tcPr>
          <w:p w14:paraId="3FF4377E" w14:textId="352AABE4" w:rsidR="000D007F" w:rsidRPr="000D007F" w:rsidRDefault="000D007F" w:rsidP="000D007F">
            <w:pPr>
              <w:jc w:val="center"/>
              <w:rPr>
                <w:sz w:val="22"/>
              </w:rPr>
            </w:pPr>
            <w:r w:rsidRPr="000D007F">
              <w:rPr>
                <w:color w:val="000000"/>
                <w:sz w:val="22"/>
              </w:rPr>
              <w:t>9,036</w:t>
            </w:r>
          </w:p>
        </w:tc>
        <w:tc>
          <w:tcPr>
            <w:tcW w:w="1336" w:type="dxa"/>
            <w:vAlign w:val="center"/>
          </w:tcPr>
          <w:p w14:paraId="1701BC89" w14:textId="41110792" w:rsidR="000D007F" w:rsidRPr="000D007F" w:rsidRDefault="000D007F" w:rsidP="000D007F">
            <w:pPr>
              <w:jc w:val="center"/>
              <w:rPr>
                <w:sz w:val="22"/>
              </w:rPr>
            </w:pPr>
            <w:r w:rsidRPr="000D007F">
              <w:rPr>
                <w:color w:val="000000"/>
                <w:sz w:val="22"/>
              </w:rPr>
              <w:t>6,369</w:t>
            </w:r>
          </w:p>
        </w:tc>
      </w:tr>
      <w:tr w:rsidR="000D007F" w14:paraId="6A1EFE95" w14:textId="77777777" w:rsidTr="000D007F">
        <w:trPr>
          <w:trHeight w:val="288"/>
        </w:trPr>
        <w:tc>
          <w:tcPr>
            <w:tcW w:w="1335" w:type="dxa"/>
            <w:vAlign w:val="center"/>
          </w:tcPr>
          <w:p w14:paraId="01DC8483" w14:textId="455C394A" w:rsidR="000D007F" w:rsidRPr="000D007F" w:rsidRDefault="000D007F" w:rsidP="000D007F">
            <w:pPr>
              <w:jc w:val="center"/>
              <w:rPr>
                <w:sz w:val="22"/>
              </w:rPr>
            </w:pPr>
            <w:r w:rsidRPr="000D007F">
              <w:rPr>
                <w:color w:val="000000"/>
                <w:sz w:val="22"/>
              </w:rPr>
              <w:t>2020</w:t>
            </w:r>
          </w:p>
        </w:tc>
        <w:tc>
          <w:tcPr>
            <w:tcW w:w="1335" w:type="dxa"/>
            <w:vAlign w:val="center"/>
          </w:tcPr>
          <w:p w14:paraId="03D434B0" w14:textId="7E0EB022" w:rsidR="000D007F" w:rsidRPr="000D007F" w:rsidRDefault="000D007F" w:rsidP="000D007F">
            <w:pPr>
              <w:jc w:val="center"/>
              <w:rPr>
                <w:sz w:val="22"/>
              </w:rPr>
            </w:pPr>
            <w:r w:rsidRPr="000D007F">
              <w:rPr>
                <w:color w:val="000000"/>
                <w:sz w:val="22"/>
              </w:rPr>
              <w:t>0</w:t>
            </w:r>
          </w:p>
        </w:tc>
        <w:tc>
          <w:tcPr>
            <w:tcW w:w="1336" w:type="dxa"/>
            <w:vAlign w:val="center"/>
          </w:tcPr>
          <w:p w14:paraId="7EF60606" w14:textId="148809E8" w:rsidR="000D007F" w:rsidRPr="000D007F" w:rsidRDefault="000D007F" w:rsidP="000D007F">
            <w:pPr>
              <w:jc w:val="center"/>
              <w:rPr>
                <w:sz w:val="22"/>
              </w:rPr>
            </w:pPr>
            <w:r w:rsidRPr="000D007F">
              <w:rPr>
                <w:color w:val="000000"/>
                <w:sz w:val="22"/>
              </w:rPr>
              <w:t>0</w:t>
            </w:r>
          </w:p>
        </w:tc>
        <w:tc>
          <w:tcPr>
            <w:tcW w:w="1336" w:type="dxa"/>
            <w:vAlign w:val="center"/>
          </w:tcPr>
          <w:p w14:paraId="3F520CF5" w14:textId="41F0BF01" w:rsidR="000D007F" w:rsidRPr="000D007F" w:rsidRDefault="000D007F" w:rsidP="000D007F">
            <w:pPr>
              <w:jc w:val="center"/>
              <w:rPr>
                <w:sz w:val="22"/>
              </w:rPr>
            </w:pPr>
            <w:r w:rsidRPr="000D007F">
              <w:rPr>
                <w:color w:val="000000"/>
                <w:sz w:val="22"/>
              </w:rPr>
              <w:t>3,532</w:t>
            </w:r>
          </w:p>
        </w:tc>
        <w:tc>
          <w:tcPr>
            <w:tcW w:w="1336" w:type="dxa"/>
            <w:vAlign w:val="center"/>
          </w:tcPr>
          <w:p w14:paraId="49C7D637" w14:textId="4BDC6C45" w:rsidR="000D007F" w:rsidRPr="000D007F" w:rsidRDefault="000D007F" w:rsidP="000D007F">
            <w:pPr>
              <w:jc w:val="center"/>
              <w:rPr>
                <w:sz w:val="22"/>
              </w:rPr>
            </w:pPr>
            <w:r w:rsidRPr="000D007F">
              <w:rPr>
                <w:color w:val="000000"/>
                <w:sz w:val="22"/>
              </w:rPr>
              <w:t>2,817</w:t>
            </w:r>
          </w:p>
        </w:tc>
        <w:tc>
          <w:tcPr>
            <w:tcW w:w="1336" w:type="dxa"/>
            <w:vAlign w:val="center"/>
          </w:tcPr>
          <w:p w14:paraId="1271D333" w14:textId="623263EA" w:rsidR="000D007F" w:rsidRPr="000D007F" w:rsidRDefault="000D007F" w:rsidP="000D007F">
            <w:pPr>
              <w:jc w:val="center"/>
              <w:rPr>
                <w:sz w:val="22"/>
              </w:rPr>
            </w:pPr>
            <w:r w:rsidRPr="000D007F">
              <w:rPr>
                <w:color w:val="000000"/>
                <w:sz w:val="22"/>
              </w:rPr>
              <w:t>3,532</w:t>
            </w:r>
          </w:p>
        </w:tc>
        <w:tc>
          <w:tcPr>
            <w:tcW w:w="1336" w:type="dxa"/>
            <w:vAlign w:val="center"/>
          </w:tcPr>
          <w:p w14:paraId="33C00F7D" w14:textId="422FE179" w:rsidR="000D007F" w:rsidRPr="000D007F" w:rsidRDefault="000D007F" w:rsidP="000D007F">
            <w:pPr>
              <w:jc w:val="center"/>
              <w:rPr>
                <w:sz w:val="22"/>
              </w:rPr>
            </w:pPr>
            <w:r w:rsidRPr="000D007F">
              <w:rPr>
                <w:color w:val="000000"/>
                <w:sz w:val="22"/>
              </w:rPr>
              <w:t>2,817</w:t>
            </w:r>
          </w:p>
        </w:tc>
      </w:tr>
      <w:tr w:rsidR="000D007F" w14:paraId="31F528C1" w14:textId="77777777" w:rsidTr="000D007F">
        <w:trPr>
          <w:trHeight w:val="288"/>
        </w:trPr>
        <w:tc>
          <w:tcPr>
            <w:tcW w:w="1335" w:type="dxa"/>
            <w:shd w:val="clear" w:color="auto" w:fill="BFBFBF" w:themeFill="background1" w:themeFillShade="BF"/>
            <w:vAlign w:val="center"/>
          </w:tcPr>
          <w:p w14:paraId="4219819B" w14:textId="41E9B427" w:rsidR="000D007F" w:rsidRPr="000D007F" w:rsidRDefault="000D007F" w:rsidP="000D007F">
            <w:pPr>
              <w:jc w:val="center"/>
              <w:rPr>
                <w:b/>
                <w:bCs/>
                <w:sz w:val="22"/>
              </w:rPr>
            </w:pPr>
            <w:r w:rsidRPr="000D007F">
              <w:rPr>
                <w:b/>
                <w:bCs/>
                <w:color w:val="000000"/>
                <w:sz w:val="22"/>
              </w:rPr>
              <w:t>Total</w:t>
            </w:r>
          </w:p>
        </w:tc>
        <w:tc>
          <w:tcPr>
            <w:tcW w:w="1335" w:type="dxa"/>
            <w:shd w:val="clear" w:color="auto" w:fill="BFBFBF" w:themeFill="background1" w:themeFillShade="BF"/>
            <w:vAlign w:val="center"/>
          </w:tcPr>
          <w:p w14:paraId="678DEB3A" w14:textId="3DB103CD" w:rsidR="000D007F" w:rsidRPr="000D007F" w:rsidRDefault="000D007F" w:rsidP="000D007F">
            <w:pPr>
              <w:jc w:val="center"/>
              <w:rPr>
                <w:b/>
                <w:bCs/>
                <w:sz w:val="22"/>
              </w:rPr>
            </w:pPr>
            <w:r w:rsidRPr="000D007F">
              <w:rPr>
                <w:b/>
                <w:bCs/>
                <w:color w:val="000000"/>
                <w:sz w:val="22"/>
              </w:rPr>
              <w:t>11,622</w:t>
            </w:r>
          </w:p>
        </w:tc>
        <w:tc>
          <w:tcPr>
            <w:tcW w:w="1336" w:type="dxa"/>
            <w:shd w:val="clear" w:color="auto" w:fill="BFBFBF" w:themeFill="background1" w:themeFillShade="BF"/>
            <w:vAlign w:val="center"/>
          </w:tcPr>
          <w:p w14:paraId="4A85FAB1" w14:textId="4AEB9BD3" w:rsidR="000D007F" w:rsidRPr="000D007F" w:rsidRDefault="000D007F" w:rsidP="000D007F">
            <w:pPr>
              <w:jc w:val="center"/>
              <w:rPr>
                <w:b/>
                <w:bCs/>
                <w:sz w:val="22"/>
              </w:rPr>
            </w:pPr>
            <w:r w:rsidRPr="000D007F">
              <w:rPr>
                <w:b/>
                <w:bCs/>
                <w:color w:val="000000"/>
                <w:sz w:val="22"/>
              </w:rPr>
              <w:t>9,202</w:t>
            </w:r>
          </w:p>
        </w:tc>
        <w:tc>
          <w:tcPr>
            <w:tcW w:w="1336" w:type="dxa"/>
            <w:shd w:val="clear" w:color="auto" w:fill="BFBFBF" w:themeFill="background1" w:themeFillShade="BF"/>
            <w:vAlign w:val="center"/>
          </w:tcPr>
          <w:p w14:paraId="10EF445A" w14:textId="4BC5CB03" w:rsidR="000D007F" w:rsidRPr="000D007F" w:rsidRDefault="000D007F" w:rsidP="000D007F">
            <w:pPr>
              <w:jc w:val="center"/>
              <w:rPr>
                <w:b/>
                <w:bCs/>
                <w:sz w:val="22"/>
              </w:rPr>
            </w:pPr>
            <w:r w:rsidRPr="000D007F">
              <w:rPr>
                <w:b/>
                <w:bCs/>
                <w:color w:val="000000"/>
                <w:sz w:val="22"/>
              </w:rPr>
              <w:t>26,288</w:t>
            </w:r>
          </w:p>
        </w:tc>
        <w:tc>
          <w:tcPr>
            <w:tcW w:w="1336" w:type="dxa"/>
            <w:shd w:val="clear" w:color="auto" w:fill="BFBFBF" w:themeFill="background1" w:themeFillShade="BF"/>
            <w:vAlign w:val="center"/>
          </w:tcPr>
          <w:p w14:paraId="461DE153" w14:textId="7E0A185D" w:rsidR="000D007F" w:rsidRPr="000D007F" w:rsidRDefault="000D007F" w:rsidP="000D007F">
            <w:pPr>
              <w:jc w:val="center"/>
              <w:rPr>
                <w:b/>
                <w:bCs/>
                <w:sz w:val="22"/>
              </w:rPr>
            </w:pPr>
            <w:r w:rsidRPr="000D007F">
              <w:rPr>
                <w:b/>
                <w:bCs/>
                <w:color w:val="000000"/>
                <w:sz w:val="22"/>
              </w:rPr>
              <w:t>20,082</w:t>
            </w:r>
          </w:p>
        </w:tc>
        <w:tc>
          <w:tcPr>
            <w:tcW w:w="1336" w:type="dxa"/>
            <w:shd w:val="clear" w:color="auto" w:fill="BFBFBF" w:themeFill="background1" w:themeFillShade="BF"/>
            <w:vAlign w:val="center"/>
          </w:tcPr>
          <w:p w14:paraId="035A0293" w14:textId="6455A5AA" w:rsidR="000D007F" w:rsidRPr="000D007F" w:rsidRDefault="000D007F" w:rsidP="000D007F">
            <w:pPr>
              <w:jc w:val="center"/>
              <w:rPr>
                <w:b/>
                <w:bCs/>
                <w:sz w:val="22"/>
              </w:rPr>
            </w:pPr>
            <w:r w:rsidRPr="000D007F">
              <w:rPr>
                <w:b/>
                <w:bCs/>
                <w:color w:val="000000"/>
                <w:sz w:val="22"/>
              </w:rPr>
              <w:t>37,910</w:t>
            </w:r>
          </w:p>
        </w:tc>
        <w:tc>
          <w:tcPr>
            <w:tcW w:w="1336" w:type="dxa"/>
            <w:shd w:val="clear" w:color="auto" w:fill="BFBFBF" w:themeFill="background1" w:themeFillShade="BF"/>
            <w:vAlign w:val="center"/>
          </w:tcPr>
          <w:p w14:paraId="2F217794" w14:textId="44C14A97" w:rsidR="000D007F" w:rsidRPr="000D007F" w:rsidRDefault="000D007F" w:rsidP="000D007F">
            <w:pPr>
              <w:jc w:val="center"/>
              <w:rPr>
                <w:b/>
                <w:bCs/>
                <w:sz w:val="22"/>
              </w:rPr>
            </w:pPr>
            <w:r w:rsidRPr="000D007F">
              <w:rPr>
                <w:b/>
                <w:bCs/>
                <w:color w:val="000000"/>
                <w:sz w:val="22"/>
              </w:rPr>
              <w:t>29,284</w:t>
            </w:r>
          </w:p>
        </w:tc>
      </w:tr>
      <w:tr w:rsidR="000D007F" w14:paraId="612DBFA7" w14:textId="77777777" w:rsidTr="000D007F">
        <w:trPr>
          <w:trHeight w:val="288"/>
        </w:trPr>
        <w:tc>
          <w:tcPr>
            <w:tcW w:w="1335" w:type="dxa"/>
            <w:shd w:val="clear" w:color="auto" w:fill="BFBFBF" w:themeFill="background1" w:themeFillShade="BF"/>
            <w:vAlign w:val="center"/>
          </w:tcPr>
          <w:p w14:paraId="2529529A" w14:textId="465768E8" w:rsidR="000D007F" w:rsidRPr="000D007F" w:rsidRDefault="000D007F" w:rsidP="000D007F">
            <w:pPr>
              <w:jc w:val="center"/>
              <w:rPr>
                <w:b/>
                <w:bCs/>
                <w:sz w:val="22"/>
              </w:rPr>
            </w:pPr>
            <w:r w:rsidRPr="000D007F">
              <w:rPr>
                <w:b/>
                <w:bCs/>
                <w:color w:val="000000"/>
                <w:sz w:val="22"/>
              </w:rPr>
              <w:t>Average</w:t>
            </w:r>
          </w:p>
        </w:tc>
        <w:tc>
          <w:tcPr>
            <w:tcW w:w="1335" w:type="dxa"/>
            <w:shd w:val="clear" w:color="auto" w:fill="BFBFBF" w:themeFill="background1" w:themeFillShade="BF"/>
            <w:vAlign w:val="center"/>
          </w:tcPr>
          <w:p w14:paraId="3D52934B" w14:textId="22607542" w:rsidR="000D007F" w:rsidRPr="000D007F" w:rsidRDefault="000D007F" w:rsidP="000D007F">
            <w:pPr>
              <w:jc w:val="center"/>
              <w:rPr>
                <w:b/>
                <w:bCs/>
                <w:sz w:val="22"/>
              </w:rPr>
            </w:pPr>
            <w:r w:rsidRPr="000D007F">
              <w:rPr>
                <w:b/>
                <w:bCs/>
                <w:color w:val="000000"/>
                <w:sz w:val="22"/>
              </w:rPr>
              <w:t>1,937</w:t>
            </w:r>
          </w:p>
        </w:tc>
        <w:tc>
          <w:tcPr>
            <w:tcW w:w="1336" w:type="dxa"/>
            <w:shd w:val="clear" w:color="auto" w:fill="BFBFBF" w:themeFill="background1" w:themeFillShade="BF"/>
            <w:vAlign w:val="center"/>
          </w:tcPr>
          <w:p w14:paraId="23E98AAD" w14:textId="697F2ACF" w:rsidR="000D007F" w:rsidRPr="000D007F" w:rsidRDefault="000D007F" w:rsidP="000D007F">
            <w:pPr>
              <w:jc w:val="center"/>
              <w:rPr>
                <w:b/>
                <w:bCs/>
                <w:sz w:val="22"/>
              </w:rPr>
            </w:pPr>
            <w:r w:rsidRPr="000D007F">
              <w:rPr>
                <w:b/>
                <w:bCs/>
                <w:color w:val="000000"/>
                <w:sz w:val="22"/>
              </w:rPr>
              <w:t>1,534</w:t>
            </w:r>
          </w:p>
        </w:tc>
        <w:tc>
          <w:tcPr>
            <w:tcW w:w="1336" w:type="dxa"/>
            <w:shd w:val="clear" w:color="auto" w:fill="BFBFBF" w:themeFill="background1" w:themeFillShade="BF"/>
            <w:vAlign w:val="center"/>
          </w:tcPr>
          <w:p w14:paraId="5179CDF0" w14:textId="4E9A2C21" w:rsidR="000D007F" w:rsidRPr="000D007F" w:rsidRDefault="000D007F" w:rsidP="000D007F">
            <w:pPr>
              <w:jc w:val="center"/>
              <w:rPr>
                <w:b/>
                <w:bCs/>
                <w:sz w:val="22"/>
              </w:rPr>
            </w:pPr>
            <w:r w:rsidRPr="000D007F">
              <w:rPr>
                <w:b/>
                <w:bCs/>
                <w:color w:val="000000"/>
                <w:sz w:val="22"/>
              </w:rPr>
              <w:t>4,381</w:t>
            </w:r>
          </w:p>
        </w:tc>
        <w:tc>
          <w:tcPr>
            <w:tcW w:w="1336" w:type="dxa"/>
            <w:shd w:val="clear" w:color="auto" w:fill="BFBFBF" w:themeFill="background1" w:themeFillShade="BF"/>
            <w:vAlign w:val="center"/>
          </w:tcPr>
          <w:p w14:paraId="48DE47C7" w14:textId="0B9BBB2B" w:rsidR="000D007F" w:rsidRPr="000D007F" w:rsidRDefault="000D007F" w:rsidP="000D007F">
            <w:pPr>
              <w:jc w:val="center"/>
              <w:rPr>
                <w:b/>
                <w:bCs/>
                <w:sz w:val="22"/>
              </w:rPr>
            </w:pPr>
            <w:r w:rsidRPr="000D007F">
              <w:rPr>
                <w:b/>
                <w:bCs/>
                <w:color w:val="000000"/>
                <w:sz w:val="22"/>
              </w:rPr>
              <w:t>3,347</w:t>
            </w:r>
          </w:p>
        </w:tc>
        <w:tc>
          <w:tcPr>
            <w:tcW w:w="1336" w:type="dxa"/>
            <w:shd w:val="clear" w:color="auto" w:fill="BFBFBF" w:themeFill="background1" w:themeFillShade="BF"/>
            <w:vAlign w:val="center"/>
          </w:tcPr>
          <w:p w14:paraId="12748419" w14:textId="7068178A" w:rsidR="000D007F" w:rsidRPr="000D007F" w:rsidRDefault="000D007F" w:rsidP="000D007F">
            <w:pPr>
              <w:jc w:val="center"/>
              <w:rPr>
                <w:b/>
                <w:bCs/>
                <w:sz w:val="22"/>
              </w:rPr>
            </w:pPr>
            <w:r w:rsidRPr="000D007F">
              <w:rPr>
                <w:b/>
                <w:bCs/>
                <w:color w:val="000000"/>
                <w:sz w:val="22"/>
              </w:rPr>
              <w:t>6,318</w:t>
            </w:r>
          </w:p>
        </w:tc>
        <w:tc>
          <w:tcPr>
            <w:tcW w:w="1336" w:type="dxa"/>
            <w:shd w:val="clear" w:color="auto" w:fill="BFBFBF" w:themeFill="background1" w:themeFillShade="BF"/>
            <w:vAlign w:val="center"/>
          </w:tcPr>
          <w:p w14:paraId="1AFC6EA7" w14:textId="645C0ECE" w:rsidR="000D007F" w:rsidRPr="000D007F" w:rsidRDefault="000D007F" w:rsidP="000D007F">
            <w:pPr>
              <w:jc w:val="center"/>
              <w:rPr>
                <w:b/>
                <w:bCs/>
                <w:sz w:val="22"/>
              </w:rPr>
            </w:pPr>
            <w:r w:rsidRPr="000D007F">
              <w:rPr>
                <w:b/>
                <w:bCs/>
                <w:color w:val="000000"/>
                <w:sz w:val="22"/>
              </w:rPr>
              <w:t>4,881</w:t>
            </w:r>
          </w:p>
        </w:tc>
      </w:tr>
    </w:tbl>
    <w:p w14:paraId="3D0F32D0" w14:textId="43142F0A" w:rsidR="00533425" w:rsidRDefault="00533425" w:rsidP="00494FEF">
      <w:pPr>
        <w:rPr>
          <w:szCs w:val="24"/>
        </w:rPr>
      </w:pPr>
    </w:p>
    <w:p w14:paraId="2777325D" w14:textId="74E50098" w:rsidR="00BA51CF" w:rsidRDefault="00B75751" w:rsidP="00494FEF">
      <w:pPr>
        <w:rPr>
          <w:szCs w:val="24"/>
        </w:rPr>
      </w:pPr>
      <w:r>
        <w:rPr>
          <w:szCs w:val="24"/>
        </w:rPr>
        <w:t xml:space="preserve">At this time, the EDO does not have the tools necessary to calculate accretions from NPPD canal recharge and complete routing to Grand Island to assess reductions to target flow deficits.  </w:t>
      </w:r>
      <w:r w:rsidR="00206310">
        <w:rPr>
          <w:szCs w:val="24"/>
        </w:rPr>
        <w:t xml:space="preserve">It is intended that </w:t>
      </w:r>
      <w:r>
        <w:rPr>
          <w:szCs w:val="24"/>
        </w:rPr>
        <w:t>URFs for NPPD canal recharge will be developed based on the current version of COHYST</w:t>
      </w:r>
      <w:r w:rsidR="00206310">
        <w:rPr>
          <w:szCs w:val="24"/>
        </w:rPr>
        <w:t xml:space="preserve"> in order to facilitate project scoring and accounting</w:t>
      </w:r>
      <w:r>
        <w:rPr>
          <w:szCs w:val="24"/>
        </w:rPr>
        <w:t>, but the COHYST models are undergoing revisions that have not yet been completed.</w:t>
      </w:r>
    </w:p>
    <w:p w14:paraId="434DD398" w14:textId="7C74C369" w:rsidR="005D0F4D" w:rsidRDefault="004E0658" w:rsidP="00B9798C">
      <w:pPr>
        <w:pStyle w:val="ListParagraph"/>
        <w:numPr>
          <w:ilvl w:val="0"/>
          <w:numId w:val="1"/>
        </w:numPr>
        <w:spacing w:before="360" w:after="240"/>
        <w:rPr>
          <w:b/>
        </w:rPr>
      </w:pPr>
      <w:r>
        <w:rPr>
          <w:b/>
        </w:rPr>
        <w:t>LAKE MCCONAUGHY</w:t>
      </w:r>
      <w:r w:rsidR="00B41989">
        <w:rPr>
          <w:b/>
        </w:rPr>
        <w:t xml:space="preserve"> EA</w:t>
      </w:r>
    </w:p>
    <w:p w14:paraId="2D7C465C" w14:textId="0CAF414C" w:rsidR="003C0252" w:rsidRDefault="00F52DC6" w:rsidP="00AB501B">
      <w:pPr>
        <w:pStyle w:val="ListParagraph"/>
        <w:spacing w:before="120" w:after="240"/>
        <w:ind w:left="0"/>
      </w:pPr>
      <w:r>
        <w:t>E</w:t>
      </w:r>
      <w:r w:rsidR="00C4647A">
        <w:t xml:space="preserve">stablishment </w:t>
      </w:r>
      <w:r w:rsidR="00AB4687">
        <w:t>of the Lake McConaughy EA</w:t>
      </w:r>
      <w:r w:rsidR="00F61940">
        <w:t xml:space="preserve"> to provide water for instream use to benefit downstream fish and wildlife was one of the terms of the 1998 FERC license renewal</w:t>
      </w:r>
      <w:r w:rsidR="00E92BEB">
        <w:t>s</w:t>
      </w:r>
      <w:r w:rsidR="00F61940">
        <w:t xml:space="preserve"> for the operation of the reservoir and hydropower plant.  The Lake McConaughy EA and a portion of the water contributed </w:t>
      </w:r>
      <w:r w:rsidR="00AB4687">
        <w:t>to the account</w:t>
      </w:r>
      <w:r w:rsidR="00F61940">
        <w:t xml:space="preserve"> serve as Nebraska’s contributions to the Program’s initial state water projects.</w:t>
      </w:r>
      <w:r w:rsidR="00A055C5">
        <w:t xml:space="preserve">  Water available in the Lake McConaughy EA from all sources of supply is recorded under permit A-17695, which was approved by NDNR in May 1999.</w:t>
      </w:r>
      <w:r w:rsidR="00B71F82">
        <w:t xml:space="preserve">  </w:t>
      </w:r>
      <w:r w:rsidR="00A055C5">
        <w:t xml:space="preserve">A maximum of 200,000 AF may be available in the account at any given time, but if the </w:t>
      </w:r>
      <w:r w:rsidR="00E2289E">
        <w:t>w</w:t>
      </w:r>
      <w:r w:rsidR="00A055C5">
        <w:t>ater level</w:t>
      </w:r>
      <w:r w:rsidR="00E2289E">
        <w:t xml:space="preserve"> in Lake McConaughy</w:t>
      </w:r>
      <w:r w:rsidR="00A055C5">
        <w:t xml:space="preserve"> reaches regulatory capacity, the EA </w:t>
      </w:r>
      <w:r w:rsidR="00E2289E">
        <w:t xml:space="preserve">automatically </w:t>
      </w:r>
      <w:r w:rsidR="00A055C5">
        <w:t>resets to 100,000 AF by addition or subtraction</w:t>
      </w:r>
      <w:r w:rsidR="00E2289E">
        <w:t xml:space="preserve"> depending on whether the EA volume was</w:t>
      </w:r>
      <w:r w:rsidR="00AB4687">
        <w:t xml:space="preserve"> already</w:t>
      </w:r>
      <w:r w:rsidR="00E2289E">
        <w:t xml:space="preserve"> above or below 100,000 AF</w:t>
      </w:r>
      <w:r w:rsidR="00A055C5">
        <w:t>.</w:t>
      </w:r>
      <w:r w:rsidR="003C0252">
        <w:t xml:space="preserve">  </w:t>
      </w:r>
    </w:p>
    <w:p w14:paraId="13A3F4A4" w14:textId="428E3478" w:rsidR="003C0252" w:rsidRDefault="00AB4687" w:rsidP="003C0252">
      <w:pPr>
        <w:pStyle w:val="ListParagraph"/>
        <w:spacing w:before="120" w:after="240"/>
        <w:ind w:left="0"/>
        <w:rPr>
          <w:szCs w:val="24"/>
        </w:rPr>
      </w:pPr>
      <w:r>
        <w:rPr>
          <w:szCs w:val="24"/>
        </w:rPr>
        <w:t xml:space="preserve">By </w:t>
      </w:r>
      <w:r w:rsidR="00891CA6">
        <w:rPr>
          <w:szCs w:val="24"/>
        </w:rPr>
        <w:t>2020</w:t>
      </w:r>
      <w:r w:rsidR="003C0252">
        <w:rPr>
          <w:szCs w:val="24"/>
        </w:rPr>
        <w:t xml:space="preserve">, there were </w:t>
      </w:r>
      <w:r>
        <w:rPr>
          <w:szCs w:val="24"/>
        </w:rPr>
        <w:t>seven individual</w:t>
      </w:r>
      <w:r w:rsidR="003C0252">
        <w:rPr>
          <w:szCs w:val="24"/>
        </w:rPr>
        <w:t xml:space="preserve"> sources of water contributing to the Lake McConaughy EA, a combination of initial state water projects for the Program and </w:t>
      </w:r>
      <w:r w:rsidR="005D08FD">
        <w:rPr>
          <w:szCs w:val="24"/>
        </w:rPr>
        <w:t xml:space="preserve">surface water leases </w:t>
      </w:r>
      <w:r w:rsidR="003C0252">
        <w:rPr>
          <w:szCs w:val="24"/>
        </w:rPr>
        <w:t xml:space="preserve">implemented </w:t>
      </w:r>
      <w:r w:rsidR="005D08FD">
        <w:rPr>
          <w:szCs w:val="24"/>
        </w:rPr>
        <w:t>as WAP projects</w:t>
      </w:r>
      <w:r w:rsidR="003C0252">
        <w:rPr>
          <w:szCs w:val="24"/>
        </w:rPr>
        <w:t>:</w:t>
      </w:r>
    </w:p>
    <w:p w14:paraId="17B76CCA" w14:textId="75894495" w:rsidR="003C0252" w:rsidRDefault="003C0252" w:rsidP="003C0252">
      <w:pPr>
        <w:pStyle w:val="ListParagraph"/>
        <w:numPr>
          <w:ilvl w:val="0"/>
          <w:numId w:val="10"/>
        </w:numPr>
        <w:rPr>
          <w:szCs w:val="24"/>
        </w:rPr>
      </w:pPr>
      <w:r>
        <w:rPr>
          <w:szCs w:val="24"/>
        </w:rPr>
        <w:t>Storable Natural Inflows</w:t>
      </w:r>
      <w:r w:rsidR="00AB4687">
        <w:rPr>
          <w:szCs w:val="24"/>
        </w:rPr>
        <w:t xml:space="preserve"> (SNI)</w:t>
      </w:r>
    </w:p>
    <w:p w14:paraId="3E9AC380" w14:textId="76A554FC" w:rsidR="003C0252" w:rsidRDefault="003C0252" w:rsidP="003C0252">
      <w:pPr>
        <w:pStyle w:val="ListParagraph"/>
        <w:numPr>
          <w:ilvl w:val="0"/>
          <w:numId w:val="10"/>
        </w:numPr>
        <w:rPr>
          <w:szCs w:val="24"/>
        </w:rPr>
      </w:pPr>
      <w:r>
        <w:rPr>
          <w:szCs w:val="24"/>
        </w:rPr>
        <w:t>Pathfinder EA</w:t>
      </w:r>
    </w:p>
    <w:p w14:paraId="3FBA2D4D" w14:textId="3818E613" w:rsidR="003C0252" w:rsidRDefault="003C0252" w:rsidP="003C0252">
      <w:pPr>
        <w:pStyle w:val="ListParagraph"/>
        <w:numPr>
          <w:ilvl w:val="0"/>
          <w:numId w:val="10"/>
        </w:numPr>
        <w:rPr>
          <w:szCs w:val="24"/>
        </w:rPr>
      </w:pPr>
      <w:r>
        <w:rPr>
          <w:szCs w:val="24"/>
        </w:rPr>
        <w:t>Pathfinder Municipal Account Lease</w:t>
      </w:r>
    </w:p>
    <w:p w14:paraId="2E3F2F36" w14:textId="7C589C69" w:rsidR="003C0252" w:rsidRDefault="003C0252" w:rsidP="003C0252">
      <w:pPr>
        <w:pStyle w:val="ListParagraph"/>
        <w:numPr>
          <w:ilvl w:val="0"/>
          <w:numId w:val="10"/>
        </w:numPr>
        <w:rPr>
          <w:szCs w:val="24"/>
        </w:rPr>
      </w:pPr>
      <w:r>
        <w:rPr>
          <w:szCs w:val="24"/>
        </w:rPr>
        <w:t>No-Cost NCCW</w:t>
      </w:r>
    </w:p>
    <w:p w14:paraId="6E756B91" w14:textId="21F65B6B" w:rsidR="003C0252" w:rsidRDefault="003C0252" w:rsidP="003C0252">
      <w:pPr>
        <w:pStyle w:val="ListParagraph"/>
        <w:numPr>
          <w:ilvl w:val="0"/>
          <w:numId w:val="10"/>
        </w:numPr>
        <w:rPr>
          <w:szCs w:val="24"/>
        </w:rPr>
      </w:pPr>
      <w:r>
        <w:rPr>
          <w:szCs w:val="24"/>
        </w:rPr>
        <w:t>CNPPID Irrigator Lease</w:t>
      </w:r>
    </w:p>
    <w:p w14:paraId="29AED051" w14:textId="3DDABBF4" w:rsidR="00AB4687" w:rsidRDefault="003C0252" w:rsidP="00AB4687">
      <w:pPr>
        <w:pStyle w:val="ListParagraph"/>
        <w:numPr>
          <w:ilvl w:val="0"/>
          <w:numId w:val="10"/>
        </w:numPr>
        <w:rPr>
          <w:szCs w:val="24"/>
        </w:rPr>
      </w:pPr>
      <w:r>
        <w:rPr>
          <w:szCs w:val="24"/>
        </w:rPr>
        <w:t>CPNRD Surface Water Lease</w:t>
      </w:r>
    </w:p>
    <w:p w14:paraId="0B694F25" w14:textId="6C1DB7A0" w:rsidR="00AB4687" w:rsidRPr="00AB4687" w:rsidRDefault="00AB4687" w:rsidP="00AB4687">
      <w:pPr>
        <w:pStyle w:val="ListParagraph"/>
        <w:numPr>
          <w:ilvl w:val="0"/>
          <w:numId w:val="10"/>
        </w:numPr>
        <w:spacing w:after="240"/>
        <w:rPr>
          <w:szCs w:val="24"/>
        </w:rPr>
      </w:pPr>
      <w:r>
        <w:rPr>
          <w:szCs w:val="24"/>
        </w:rPr>
        <w:t>NPPD Surface Water Lease</w:t>
      </w:r>
    </w:p>
    <w:p w14:paraId="78A7DF90" w14:textId="5EE67391" w:rsidR="00B71F82" w:rsidRDefault="00B71F82" w:rsidP="00AB501B">
      <w:pPr>
        <w:pStyle w:val="ListParagraph"/>
        <w:spacing w:before="120" w:after="240"/>
        <w:ind w:left="0"/>
      </w:pPr>
      <w:r>
        <w:rPr>
          <w:szCs w:val="24"/>
        </w:rPr>
        <w:lastRenderedPageBreak/>
        <w:t>Once credited to the Lake McConaughy EA, water from these individual sources becomes one indistinguishable supply that is released at the discretion of the USFWS to meet specific downstream water needs.</w:t>
      </w:r>
      <w:r>
        <w:t xml:space="preserve">  </w:t>
      </w:r>
    </w:p>
    <w:p w14:paraId="53B34754" w14:textId="5449776F" w:rsidR="00B71F82" w:rsidRDefault="00632DBD" w:rsidP="00AB501B">
      <w:pPr>
        <w:pStyle w:val="ListParagraph"/>
        <w:spacing w:before="120" w:after="240"/>
        <w:ind w:left="0"/>
      </w:pPr>
      <w:r>
        <w:t>The current accounting updates included a comprehensive review of data sources and calculations for the Lake McConaughy EA.  Data sources acquired and/or reviewed</w:t>
      </w:r>
      <w:r w:rsidR="0013556E">
        <w:t xml:space="preserve"> to verify and correct (as-needed) data used in the accounting analysis</w:t>
      </w:r>
      <w:r>
        <w:t xml:space="preserve"> included the following:</w:t>
      </w:r>
    </w:p>
    <w:p w14:paraId="382101BA" w14:textId="59159DF3" w:rsidR="00632DBD" w:rsidRDefault="00632DBD" w:rsidP="00632DBD">
      <w:pPr>
        <w:pStyle w:val="ListParagraph"/>
        <w:numPr>
          <w:ilvl w:val="0"/>
          <w:numId w:val="20"/>
        </w:numPr>
        <w:spacing w:before="120" w:after="240"/>
      </w:pPr>
      <w:r>
        <w:t xml:space="preserve">NDNR Kingsley Summary spreadsheets.  </w:t>
      </w:r>
      <w:r w:rsidR="00CE13C9">
        <w:t xml:space="preserve">These are maintained by the Bridgeport office and distributed a few times every year.  The Kingsley Summary spreadsheets </w:t>
      </w:r>
      <w:r>
        <w:t>include records of</w:t>
      </w:r>
      <w:r w:rsidR="00CE13C9">
        <w:t xml:space="preserve"> daily EA </w:t>
      </w:r>
      <w:r>
        <w:t>accruals</w:t>
      </w:r>
      <w:r w:rsidR="00CE13C9">
        <w:t xml:space="preserve"> (in particular SNI and Pathfinder transfers from Wyoming)</w:t>
      </w:r>
      <w:r>
        <w:t xml:space="preserve"> and releases</w:t>
      </w:r>
      <w:r w:rsidR="00CE13C9">
        <w:t xml:space="preserve"> and are used to calculate monthly losses to seepage and evap.  A newly acquired set of these spreadsheets filled in a block of data for several months in 2011 that was previously missing from the EDO files.</w:t>
      </w:r>
    </w:p>
    <w:p w14:paraId="577F8C7A" w14:textId="77777777" w:rsidR="00CE13C9" w:rsidRDefault="00CE13C9" w:rsidP="00632DBD">
      <w:pPr>
        <w:pStyle w:val="ListParagraph"/>
        <w:numPr>
          <w:ilvl w:val="0"/>
          <w:numId w:val="20"/>
        </w:numPr>
        <w:spacing w:before="120" w:after="240"/>
      </w:pPr>
      <w:r>
        <w:t>NDNR Glendo tracking spreadsheets.  These are developed by the Bridgeport office to track Pathfinder EA and Pathfinder Municipal Account water from Guernsey Reservoir down the North Platte River to the Lewellen gage at the upstream end of Lake McConaughy.</w:t>
      </w:r>
    </w:p>
    <w:p w14:paraId="20D4D477" w14:textId="562805DA" w:rsidR="00A17A0F" w:rsidRDefault="00CE13C9" w:rsidP="00632DBD">
      <w:pPr>
        <w:pStyle w:val="ListParagraph"/>
        <w:numPr>
          <w:ilvl w:val="0"/>
          <w:numId w:val="20"/>
        </w:numPr>
        <w:spacing w:before="120" w:after="240"/>
      </w:pPr>
      <w:r>
        <w:t>Platte Water Allocation Model (PWAP) daily reports.  These are produced by NDNR</w:t>
      </w:r>
      <w:r w:rsidR="00105194">
        <w:t xml:space="preserve"> for </w:t>
      </w:r>
      <w:r>
        <w:t>every day; reports since October 1, 2018 are available online</w:t>
      </w:r>
      <w:r>
        <w:rPr>
          <w:rStyle w:val="FootnoteReference"/>
        </w:rPr>
        <w:footnoteReference w:id="18"/>
      </w:r>
      <w:r w:rsidR="00A17A0F">
        <w:t xml:space="preserve"> and a large portion of earlier daily reports was already in the EDO’s files</w:t>
      </w:r>
      <w:r>
        <w:t>.</w:t>
      </w:r>
      <w:r w:rsidR="0007347D">
        <w:t xml:space="preserve">  During EA releases, the PWAP daily reports track the flow from Lake McConaughy to Grand Island.</w:t>
      </w:r>
      <w:r w:rsidR="00543FAC">
        <w:t xml:space="preserve">  USFWS typically develops a spreadsheet from the PWAP daily reports to track EA releases, and the EDO is now doing the same.</w:t>
      </w:r>
    </w:p>
    <w:p w14:paraId="4203A629" w14:textId="50EC3321" w:rsidR="00CE13C9" w:rsidRDefault="00AC498D" w:rsidP="00632DBD">
      <w:pPr>
        <w:pStyle w:val="ListParagraph"/>
        <w:numPr>
          <w:ilvl w:val="0"/>
          <w:numId w:val="20"/>
        </w:numPr>
        <w:spacing w:before="120" w:after="240"/>
      </w:pPr>
      <w:r>
        <w:t>U.S. Bureau of Reclamation (</w:t>
      </w:r>
      <w:r w:rsidR="00A17A0F">
        <w:t>USBR</w:t>
      </w:r>
      <w:r>
        <w:t>)</w:t>
      </w:r>
      <w:r w:rsidR="00A17A0F">
        <w:t xml:space="preserve"> North Platte Ownership Accounting sheets.  These are produced by USBR for each day and typically distributed a few times every week.  These can be used to track the volumes accruing to the Pathfinder EA (aka 34 Account) and Pathfinder Municipal Account (aka 20 Account) as well as the transfer of this water from Pathfinder Reservoir to Glendo Reservoir and eventual release from Guernsey Reservoir.</w:t>
      </w:r>
      <w:r w:rsidR="00CE13C9">
        <w:t xml:space="preserve"> </w:t>
      </w:r>
    </w:p>
    <w:p w14:paraId="5968EC85" w14:textId="5BBA9C9F" w:rsidR="00A17A0F" w:rsidRDefault="00A17A0F" w:rsidP="00632DBD">
      <w:pPr>
        <w:pStyle w:val="ListParagraph"/>
        <w:numPr>
          <w:ilvl w:val="0"/>
          <w:numId w:val="20"/>
        </w:numPr>
        <w:spacing w:before="120" w:after="240"/>
      </w:pPr>
      <w:r>
        <w:t>Invoices for surface water leases from CNPPID, CPNRD, and NPPD.</w:t>
      </w:r>
    </w:p>
    <w:p w14:paraId="21176D4F" w14:textId="48A5D156" w:rsidR="00A17A0F" w:rsidRDefault="00A17A0F" w:rsidP="00632DBD">
      <w:pPr>
        <w:pStyle w:val="ListParagraph"/>
        <w:numPr>
          <w:ilvl w:val="0"/>
          <w:numId w:val="20"/>
        </w:numPr>
        <w:spacing w:before="120" w:after="240"/>
      </w:pPr>
      <w:r>
        <w:t>Letters exchanged between CNPPID and NDNR requesting and confirming the surface water lease volumes credited to the Lake McConaughy EA in October each year.</w:t>
      </w:r>
    </w:p>
    <w:p w14:paraId="568FD6A5" w14:textId="3AF2E74C" w:rsidR="009F5345" w:rsidRDefault="00E735AF" w:rsidP="008130A9">
      <w:pPr>
        <w:pStyle w:val="ListParagraph"/>
        <w:spacing w:before="120" w:after="240"/>
        <w:ind w:left="0"/>
        <w:rPr>
          <w:b/>
        </w:rPr>
      </w:pPr>
      <w:r>
        <w:t xml:space="preserve">The following sections discuss </w:t>
      </w:r>
      <w:r w:rsidR="006540C2">
        <w:t>the individual</w:t>
      </w:r>
      <w:r>
        <w:t xml:space="preserve"> water supply sources contributing to the Lake McConaughy EA</w:t>
      </w:r>
      <w:r w:rsidR="006540C2">
        <w:t xml:space="preserve"> as well as the aggregate releases from the account</w:t>
      </w:r>
      <w:r w:rsidR="00C5258F">
        <w:t xml:space="preserve"> and </w:t>
      </w:r>
      <w:r w:rsidR="008475D0">
        <w:t>estimated</w:t>
      </w:r>
      <w:r w:rsidR="00C5258F">
        <w:t xml:space="preserve"> reductions to target flow deficits.</w:t>
      </w:r>
      <w:r w:rsidR="009F5345">
        <w:rPr>
          <w:b/>
        </w:rPr>
        <w:br w:type="page"/>
      </w:r>
    </w:p>
    <w:p w14:paraId="77F6B994" w14:textId="4009E480" w:rsidR="005D0F4D" w:rsidRDefault="004E0658" w:rsidP="00B9798C">
      <w:pPr>
        <w:pStyle w:val="ListParagraph"/>
        <w:numPr>
          <w:ilvl w:val="0"/>
          <w:numId w:val="3"/>
        </w:numPr>
        <w:spacing w:before="240" w:after="240"/>
        <w:ind w:left="360"/>
        <w:rPr>
          <w:b/>
        </w:rPr>
      </w:pPr>
      <w:r>
        <w:rPr>
          <w:b/>
        </w:rPr>
        <w:lastRenderedPageBreak/>
        <w:t>Storable Natural Inflows</w:t>
      </w:r>
    </w:p>
    <w:p w14:paraId="0A9E294D" w14:textId="7803EEB9" w:rsidR="00871031" w:rsidRDefault="00C664A9" w:rsidP="009F5345">
      <w:r>
        <w:t>Nebraska’s contribution to the Program’s initial state water projects includes 10</w:t>
      </w:r>
      <w:r w:rsidR="001C2E6F">
        <w:t xml:space="preserve"> percent</w:t>
      </w:r>
      <w:r>
        <w:t xml:space="preserve"> of the Storable Natural Inflows (SNI) entering Lake McConaughy during the October through April non-irrigation season months.  The volume of SNI water is based on measurements from the North Platte River at Lewellen gage (USGS 06687500), which is located at the upstream end of the reservoir.  The 10</w:t>
      </w:r>
      <w:r w:rsidR="001C2E6F">
        <w:t xml:space="preserve"> percen</w:t>
      </w:r>
      <w:r>
        <w:t xml:space="preserve">t </w:t>
      </w:r>
      <w:r w:rsidR="005F6506">
        <w:t>SNI allocation</w:t>
      </w:r>
      <w:r>
        <w:t xml:space="preserve"> is credited to the Lake McConaughy EA.</w:t>
      </w:r>
      <w:r w:rsidR="00F475E8">
        <w:t xml:space="preserve">  </w:t>
      </w:r>
      <w:r w:rsidR="00F475E8" w:rsidRPr="00F475E8">
        <w:rPr>
          <w:b/>
        </w:rPr>
        <w:t xml:space="preserve">Table </w:t>
      </w:r>
      <w:r w:rsidR="009F5345">
        <w:rPr>
          <w:b/>
        </w:rPr>
        <w:t>13</w:t>
      </w:r>
      <w:r w:rsidR="00E27C8F">
        <w:t xml:space="preserve"> </w:t>
      </w:r>
      <w:r w:rsidR="00F475E8">
        <w:t xml:space="preserve">presents SNI </w:t>
      </w:r>
      <w:r w:rsidR="004D303A">
        <w:t xml:space="preserve">volumes credited to </w:t>
      </w:r>
      <w:r w:rsidR="00F475E8">
        <w:t>the Lake McConaughy</w:t>
      </w:r>
      <w:r w:rsidR="004D303A">
        <w:t xml:space="preserve"> EA</w:t>
      </w:r>
      <w:r w:rsidR="00AF19BE">
        <w:t xml:space="preserve"> starting in 2007</w:t>
      </w:r>
      <w:r w:rsidR="004D303A">
        <w:t>.</w:t>
      </w:r>
    </w:p>
    <w:p w14:paraId="05010105" w14:textId="77777777" w:rsidR="009F5345" w:rsidRDefault="009F5345" w:rsidP="009F5345"/>
    <w:p w14:paraId="030F1B0F" w14:textId="53BF99F8" w:rsidR="00150537" w:rsidRPr="003064B6" w:rsidRDefault="00150537" w:rsidP="009F5345">
      <w:pPr>
        <w:rPr>
          <w:b/>
          <w:sz w:val="22"/>
        </w:rPr>
      </w:pPr>
      <w:r w:rsidRPr="003064B6">
        <w:rPr>
          <w:b/>
          <w:sz w:val="22"/>
        </w:rPr>
        <w:t xml:space="preserve">Table </w:t>
      </w:r>
      <w:r w:rsidR="00E72742">
        <w:rPr>
          <w:b/>
          <w:sz w:val="22"/>
        </w:rPr>
        <w:t>13</w:t>
      </w:r>
      <w:r w:rsidR="009D4FD7">
        <w:rPr>
          <w:b/>
          <w:sz w:val="22"/>
        </w:rPr>
        <w:t>.</w:t>
      </w:r>
      <w:r w:rsidRPr="003064B6">
        <w:rPr>
          <w:b/>
          <w:sz w:val="22"/>
        </w:rPr>
        <w:t xml:space="preserve"> Lake McConaughy EA Storable Natural Inflows (SNI)</w:t>
      </w:r>
      <w:r w:rsidR="00B90E59">
        <w:rPr>
          <w:b/>
          <w:sz w:val="22"/>
        </w:rPr>
        <w:t>, 2007-2020</w:t>
      </w:r>
    </w:p>
    <w:tbl>
      <w:tblPr>
        <w:tblW w:w="7555" w:type="dxa"/>
        <w:tblLayout w:type="fixed"/>
        <w:tblLook w:val="04A0" w:firstRow="1" w:lastRow="0" w:firstColumn="1" w:lastColumn="0" w:noHBand="0" w:noVBand="1"/>
      </w:tblPr>
      <w:tblGrid>
        <w:gridCol w:w="3055"/>
        <w:gridCol w:w="4500"/>
      </w:tblGrid>
      <w:tr w:rsidR="000B6670" w:rsidRPr="003064B6" w14:paraId="48284FAA" w14:textId="77777777" w:rsidTr="00B071A1">
        <w:trPr>
          <w:trHeight w:val="467"/>
        </w:trPr>
        <w:tc>
          <w:tcPr>
            <w:tcW w:w="3055" w:type="dxa"/>
            <w:tcBorders>
              <w:top w:val="single" w:sz="4" w:space="0" w:color="auto"/>
              <w:left w:val="single" w:sz="4" w:space="0" w:color="auto"/>
              <w:bottom w:val="single" w:sz="4" w:space="0" w:color="auto"/>
              <w:right w:val="single" w:sz="4" w:space="0" w:color="auto"/>
            </w:tcBorders>
            <w:shd w:val="clear" w:color="auto" w:fill="C2D69B" w:themeFill="accent3" w:themeFillTint="99"/>
            <w:vAlign w:val="bottom"/>
            <w:hideMark/>
          </w:tcPr>
          <w:p w14:paraId="758DC658" w14:textId="6DA3B7A7" w:rsidR="000B6670" w:rsidRPr="00DB0F13" w:rsidRDefault="000B6670" w:rsidP="00B76952">
            <w:pPr>
              <w:jc w:val="center"/>
              <w:rPr>
                <w:b/>
                <w:bCs/>
                <w:color w:val="000000"/>
                <w:sz w:val="22"/>
              </w:rPr>
            </w:pPr>
            <w:r w:rsidRPr="00DB0F13">
              <w:rPr>
                <w:b/>
                <w:bCs/>
                <w:color w:val="000000"/>
                <w:sz w:val="22"/>
              </w:rPr>
              <w:t xml:space="preserve">Year </w:t>
            </w:r>
          </w:p>
        </w:tc>
        <w:tc>
          <w:tcPr>
            <w:tcW w:w="4500" w:type="dxa"/>
            <w:tcBorders>
              <w:top w:val="single" w:sz="4" w:space="0" w:color="auto"/>
              <w:left w:val="nil"/>
              <w:bottom w:val="single" w:sz="4" w:space="0" w:color="auto"/>
              <w:right w:val="single" w:sz="4" w:space="0" w:color="auto"/>
            </w:tcBorders>
            <w:shd w:val="clear" w:color="auto" w:fill="C2D69B" w:themeFill="accent3" w:themeFillTint="99"/>
            <w:vAlign w:val="bottom"/>
            <w:hideMark/>
          </w:tcPr>
          <w:p w14:paraId="5AFF0B24" w14:textId="71737F33" w:rsidR="000B6670" w:rsidRPr="00DB0F13" w:rsidRDefault="00F347CB" w:rsidP="00B76952">
            <w:pPr>
              <w:jc w:val="center"/>
              <w:rPr>
                <w:b/>
                <w:bCs/>
                <w:color w:val="000000"/>
                <w:sz w:val="22"/>
              </w:rPr>
            </w:pPr>
            <w:r>
              <w:rPr>
                <w:b/>
                <w:bCs/>
                <w:color w:val="000000"/>
                <w:sz w:val="22"/>
              </w:rPr>
              <w:t>SNI</w:t>
            </w:r>
            <w:r w:rsidR="00C916D5">
              <w:rPr>
                <w:b/>
                <w:bCs/>
                <w:color w:val="000000"/>
                <w:sz w:val="22"/>
              </w:rPr>
              <w:t xml:space="preserve"> Credi</w:t>
            </w:r>
            <w:r w:rsidR="00C55ADF">
              <w:rPr>
                <w:b/>
                <w:bCs/>
                <w:color w:val="000000"/>
                <w:sz w:val="22"/>
              </w:rPr>
              <w:t>ted to</w:t>
            </w:r>
            <w:r w:rsidR="000B6670" w:rsidRPr="00DB0F13">
              <w:rPr>
                <w:b/>
                <w:bCs/>
                <w:color w:val="000000"/>
                <w:sz w:val="22"/>
              </w:rPr>
              <w:t xml:space="preserve"> </w:t>
            </w:r>
            <w:r w:rsidR="004D303A">
              <w:rPr>
                <w:b/>
                <w:bCs/>
                <w:color w:val="000000"/>
                <w:sz w:val="22"/>
              </w:rPr>
              <w:t xml:space="preserve">Lake McConaughy </w:t>
            </w:r>
            <w:r w:rsidR="000B6670" w:rsidRPr="00DB0F13">
              <w:rPr>
                <w:b/>
                <w:bCs/>
                <w:color w:val="000000"/>
                <w:sz w:val="22"/>
              </w:rPr>
              <w:t xml:space="preserve">EA </w:t>
            </w:r>
          </w:p>
          <w:p w14:paraId="055B4783" w14:textId="1CCFFA67" w:rsidR="000B6670" w:rsidRPr="00DB0F13" w:rsidRDefault="000B6670" w:rsidP="00B76952">
            <w:pPr>
              <w:jc w:val="center"/>
              <w:rPr>
                <w:b/>
                <w:bCs/>
                <w:color w:val="000000"/>
                <w:sz w:val="22"/>
              </w:rPr>
            </w:pPr>
            <w:r w:rsidRPr="00DB0F13">
              <w:rPr>
                <w:b/>
                <w:bCs/>
                <w:color w:val="000000"/>
                <w:sz w:val="22"/>
              </w:rPr>
              <w:t>(AF)</w:t>
            </w:r>
          </w:p>
        </w:tc>
      </w:tr>
      <w:tr w:rsidR="004A1E9D" w:rsidRPr="003064B6" w14:paraId="4D709087" w14:textId="77777777" w:rsidTr="00B071A1">
        <w:trPr>
          <w:trHeight w:val="288"/>
        </w:trPr>
        <w:tc>
          <w:tcPr>
            <w:tcW w:w="3055" w:type="dxa"/>
            <w:tcBorders>
              <w:top w:val="nil"/>
              <w:left w:val="single" w:sz="4" w:space="0" w:color="auto"/>
              <w:bottom w:val="single" w:sz="4" w:space="0" w:color="auto"/>
              <w:right w:val="single" w:sz="4" w:space="0" w:color="auto"/>
            </w:tcBorders>
            <w:shd w:val="clear" w:color="auto" w:fill="auto"/>
            <w:noWrap/>
            <w:vAlign w:val="center"/>
          </w:tcPr>
          <w:p w14:paraId="4D84F7D6" w14:textId="77777777" w:rsidR="004A1E9D" w:rsidRPr="00DB0F13" w:rsidRDefault="004A1E9D" w:rsidP="004A1E9D">
            <w:pPr>
              <w:jc w:val="center"/>
              <w:rPr>
                <w:color w:val="000000"/>
                <w:sz w:val="22"/>
              </w:rPr>
            </w:pPr>
            <w:r w:rsidRPr="00DB0F13">
              <w:rPr>
                <w:color w:val="000000"/>
                <w:sz w:val="22"/>
              </w:rPr>
              <w:t>2007</w:t>
            </w:r>
          </w:p>
        </w:tc>
        <w:tc>
          <w:tcPr>
            <w:tcW w:w="4500" w:type="dxa"/>
            <w:tcBorders>
              <w:top w:val="nil"/>
              <w:left w:val="nil"/>
              <w:bottom w:val="single" w:sz="4" w:space="0" w:color="auto"/>
              <w:right w:val="single" w:sz="4" w:space="0" w:color="auto"/>
            </w:tcBorders>
            <w:shd w:val="clear" w:color="auto" w:fill="auto"/>
            <w:noWrap/>
            <w:vAlign w:val="center"/>
          </w:tcPr>
          <w:p w14:paraId="0124A6BC" w14:textId="6C5DBB6E" w:rsidR="004A1E9D" w:rsidRPr="00DB0F13" w:rsidRDefault="004A1E9D" w:rsidP="004A1E9D">
            <w:pPr>
              <w:jc w:val="center"/>
              <w:rPr>
                <w:color w:val="000000"/>
                <w:sz w:val="22"/>
              </w:rPr>
            </w:pPr>
            <w:r>
              <w:rPr>
                <w:color w:val="000000"/>
                <w:sz w:val="22"/>
              </w:rPr>
              <w:t>34,480</w:t>
            </w:r>
          </w:p>
        </w:tc>
      </w:tr>
      <w:tr w:rsidR="004A1E9D" w:rsidRPr="003064B6" w14:paraId="7C5CF81D" w14:textId="77777777" w:rsidTr="00B071A1">
        <w:trPr>
          <w:trHeight w:val="288"/>
        </w:trPr>
        <w:tc>
          <w:tcPr>
            <w:tcW w:w="3055" w:type="dxa"/>
            <w:tcBorders>
              <w:top w:val="nil"/>
              <w:left w:val="single" w:sz="4" w:space="0" w:color="auto"/>
              <w:bottom w:val="single" w:sz="4" w:space="0" w:color="auto"/>
              <w:right w:val="single" w:sz="4" w:space="0" w:color="auto"/>
            </w:tcBorders>
            <w:shd w:val="clear" w:color="auto" w:fill="auto"/>
            <w:noWrap/>
            <w:vAlign w:val="center"/>
          </w:tcPr>
          <w:p w14:paraId="72657C08" w14:textId="77777777" w:rsidR="004A1E9D" w:rsidRPr="00DB0F13" w:rsidRDefault="004A1E9D" w:rsidP="004A1E9D">
            <w:pPr>
              <w:jc w:val="center"/>
              <w:rPr>
                <w:color w:val="000000"/>
                <w:sz w:val="22"/>
              </w:rPr>
            </w:pPr>
            <w:r w:rsidRPr="00DB0F13">
              <w:rPr>
                <w:color w:val="000000"/>
                <w:sz w:val="22"/>
              </w:rPr>
              <w:t>2008</w:t>
            </w:r>
          </w:p>
        </w:tc>
        <w:tc>
          <w:tcPr>
            <w:tcW w:w="4500" w:type="dxa"/>
            <w:tcBorders>
              <w:top w:val="nil"/>
              <w:left w:val="nil"/>
              <w:bottom w:val="single" w:sz="4" w:space="0" w:color="auto"/>
              <w:right w:val="single" w:sz="4" w:space="0" w:color="auto"/>
            </w:tcBorders>
            <w:shd w:val="clear" w:color="auto" w:fill="auto"/>
            <w:noWrap/>
            <w:vAlign w:val="center"/>
          </w:tcPr>
          <w:p w14:paraId="3A543BD0" w14:textId="22D23C44" w:rsidR="004A1E9D" w:rsidRPr="00DB0F13" w:rsidRDefault="004A1E9D" w:rsidP="004A1E9D">
            <w:pPr>
              <w:jc w:val="center"/>
              <w:rPr>
                <w:color w:val="000000"/>
                <w:sz w:val="22"/>
              </w:rPr>
            </w:pPr>
            <w:r>
              <w:rPr>
                <w:color w:val="000000"/>
                <w:sz w:val="22"/>
              </w:rPr>
              <w:t>37,367</w:t>
            </w:r>
          </w:p>
        </w:tc>
      </w:tr>
      <w:tr w:rsidR="004A1E9D" w:rsidRPr="003064B6" w14:paraId="19EAC14F" w14:textId="77777777" w:rsidTr="00B071A1">
        <w:trPr>
          <w:trHeight w:val="288"/>
        </w:trPr>
        <w:tc>
          <w:tcPr>
            <w:tcW w:w="3055" w:type="dxa"/>
            <w:tcBorders>
              <w:top w:val="nil"/>
              <w:left w:val="single" w:sz="4" w:space="0" w:color="auto"/>
              <w:bottom w:val="single" w:sz="4" w:space="0" w:color="auto"/>
              <w:right w:val="single" w:sz="4" w:space="0" w:color="auto"/>
            </w:tcBorders>
            <w:shd w:val="clear" w:color="auto" w:fill="auto"/>
            <w:noWrap/>
            <w:vAlign w:val="center"/>
          </w:tcPr>
          <w:p w14:paraId="15A76488" w14:textId="77777777" w:rsidR="004A1E9D" w:rsidRPr="00DB0F13" w:rsidRDefault="004A1E9D" w:rsidP="004A1E9D">
            <w:pPr>
              <w:jc w:val="center"/>
              <w:rPr>
                <w:color w:val="000000"/>
                <w:sz w:val="22"/>
              </w:rPr>
            </w:pPr>
            <w:r w:rsidRPr="00DB0F13">
              <w:rPr>
                <w:color w:val="000000"/>
                <w:sz w:val="22"/>
              </w:rPr>
              <w:t>2009</w:t>
            </w:r>
          </w:p>
        </w:tc>
        <w:tc>
          <w:tcPr>
            <w:tcW w:w="4500" w:type="dxa"/>
            <w:tcBorders>
              <w:top w:val="nil"/>
              <w:left w:val="nil"/>
              <w:bottom w:val="single" w:sz="4" w:space="0" w:color="auto"/>
              <w:right w:val="single" w:sz="4" w:space="0" w:color="auto"/>
            </w:tcBorders>
            <w:shd w:val="clear" w:color="auto" w:fill="auto"/>
            <w:noWrap/>
            <w:vAlign w:val="center"/>
          </w:tcPr>
          <w:p w14:paraId="51C8607D" w14:textId="2BCFECE8" w:rsidR="004A1E9D" w:rsidRPr="00DB0F13" w:rsidRDefault="004A1E9D" w:rsidP="004A1E9D">
            <w:pPr>
              <w:jc w:val="center"/>
              <w:rPr>
                <w:color w:val="000000"/>
                <w:sz w:val="22"/>
              </w:rPr>
            </w:pPr>
            <w:r>
              <w:rPr>
                <w:color w:val="000000"/>
                <w:sz w:val="22"/>
              </w:rPr>
              <w:t>39,702</w:t>
            </w:r>
          </w:p>
        </w:tc>
      </w:tr>
      <w:tr w:rsidR="004A1E9D" w:rsidRPr="003064B6" w14:paraId="2180E134" w14:textId="77777777" w:rsidTr="00B071A1">
        <w:trPr>
          <w:trHeight w:val="288"/>
        </w:trPr>
        <w:tc>
          <w:tcPr>
            <w:tcW w:w="3055" w:type="dxa"/>
            <w:tcBorders>
              <w:top w:val="nil"/>
              <w:left w:val="single" w:sz="4" w:space="0" w:color="auto"/>
              <w:bottom w:val="single" w:sz="4" w:space="0" w:color="auto"/>
              <w:right w:val="single" w:sz="4" w:space="0" w:color="auto"/>
            </w:tcBorders>
            <w:shd w:val="clear" w:color="auto" w:fill="auto"/>
            <w:noWrap/>
            <w:vAlign w:val="center"/>
          </w:tcPr>
          <w:p w14:paraId="5E06A3E0" w14:textId="77777777" w:rsidR="004A1E9D" w:rsidRPr="00DB0F13" w:rsidRDefault="004A1E9D" w:rsidP="004A1E9D">
            <w:pPr>
              <w:jc w:val="center"/>
              <w:rPr>
                <w:color w:val="000000"/>
                <w:sz w:val="22"/>
              </w:rPr>
            </w:pPr>
            <w:r w:rsidRPr="00DB0F13">
              <w:rPr>
                <w:color w:val="000000"/>
                <w:sz w:val="22"/>
              </w:rPr>
              <w:t>2010</w:t>
            </w:r>
          </w:p>
        </w:tc>
        <w:tc>
          <w:tcPr>
            <w:tcW w:w="4500" w:type="dxa"/>
            <w:tcBorders>
              <w:top w:val="nil"/>
              <w:left w:val="nil"/>
              <w:bottom w:val="single" w:sz="4" w:space="0" w:color="auto"/>
              <w:right w:val="single" w:sz="4" w:space="0" w:color="auto"/>
            </w:tcBorders>
            <w:shd w:val="clear" w:color="auto" w:fill="auto"/>
            <w:noWrap/>
            <w:vAlign w:val="center"/>
          </w:tcPr>
          <w:p w14:paraId="3FC9C0B6" w14:textId="07513451" w:rsidR="004A1E9D" w:rsidRPr="00DB0F13" w:rsidRDefault="004A1E9D" w:rsidP="004A1E9D">
            <w:pPr>
              <w:jc w:val="center"/>
              <w:rPr>
                <w:color w:val="000000"/>
                <w:sz w:val="22"/>
              </w:rPr>
            </w:pPr>
            <w:r>
              <w:rPr>
                <w:color w:val="000000"/>
                <w:sz w:val="22"/>
              </w:rPr>
              <w:t>37,548</w:t>
            </w:r>
          </w:p>
        </w:tc>
      </w:tr>
      <w:tr w:rsidR="004A1E9D" w:rsidRPr="003064B6" w14:paraId="768888BB" w14:textId="77777777" w:rsidTr="00B071A1">
        <w:trPr>
          <w:trHeight w:val="288"/>
        </w:trPr>
        <w:tc>
          <w:tcPr>
            <w:tcW w:w="3055" w:type="dxa"/>
            <w:tcBorders>
              <w:top w:val="nil"/>
              <w:left w:val="single" w:sz="4" w:space="0" w:color="auto"/>
              <w:bottom w:val="single" w:sz="4" w:space="0" w:color="auto"/>
              <w:right w:val="single" w:sz="4" w:space="0" w:color="auto"/>
            </w:tcBorders>
            <w:shd w:val="clear" w:color="auto" w:fill="auto"/>
            <w:noWrap/>
            <w:vAlign w:val="center"/>
          </w:tcPr>
          <w:p w14:paraId="684C45C7" w14:textId="77777777" w:rsidR="004A1E9D" w:rsidRPr="00DB0F13" w:rsidRDefault="004A1E9D" w:rsidP="004A1E9D">
            <w:pPr>
              <w:jc w:val="center"/>
              <w:rPr>
                <w:color w:val="000000"/>
                <w:sz w:val="22"/>
              </w:rPr>
            </w:pPr>
            <w:r w:rsidRPr="00DB0F13">
              <w:rPr>
                <w:color w:val="000000"/>
                <w:sz w:val="22"/>
              </w:rPr>
              <w:t>2011</w:t>
            </w:r>
          </w:p>
        </w:tc>
        <w:tc>
          <w:tcPr>
            <w:tcW w:w="4500" w:type="dxa"/>
            <w:tcBorders>
              <w:top w:val="nil"/>
              <w:left w:val="nil"/>
              <w:bottom w:val="single" w:sz="4" w:space="0" w:color="auto"/>
              <w:right w:val="single" w:sz="4" w:space="0" w:color="auto"/>
            </w:tcBorders>
            <w:shd w:val="clear" w:color="auto" w:fill="auto"/>
            <w:noWrap/>
            <w:vAlign w:val="center"/>
          </w:tcPr>
          <w:p w14:paraId="511DE4D8" w14:textId="23A8A45D" w:rsidR="004A1E9D" w:rsidRPr="00DB0F13" w:rsidRDefault="004A1E9D" w:rsidP="004A1E9D">
            <w:pPr>
              <w:jc w:val="center"/>
              <w:rPr>
                <w:color w:val="000000"/>
                <w:sz w:val="22"/>
              </w:rPr>
            </w:pPr>
            <w:r>
              <w:rPr>
                <w:color w:val="000000"/>
                <w:sz w:val="22"/>
              </w:rPr>
              <w:t>27,214</w:t>
            </w:r>
          </w:p>
        </w:tc>
      </w:tr>
      <w:tr w:rsidR="004A1E9D" w:rsidRPr="003064B6" w14:paraId="39A1D7D4" w14:textId="77777777" w:rsidTr="00B071A1">
        <w:trPr>
          <w:trHeight w:val="288"/>
        </w:trPr>
        <w:tc>
          <w:tcPr>
            <w:tcW w:w="3055" w:type="dxa"/>
            <w:tcBorders>
              <w:top w:val="nil"/>
              <w:left w:val="single" w:sz="4" w:space="0" w:color="auto"/>
              <w:bottom w:val="single" w:sz="4" w:space="0" w:color="auto"/>
              <w:right w:val="single" w:sz="4" w:space="0" w:color="auto"/>
            </w:tcBorders>
            <w:shd w:val="clear" w:color="auto" w:fill="auto"/>
            <w:noWrap/>
            <w:vAlign w:val="center"/>
          </w:tcPr>
          <w:p w14:paraId="6EF25E06" w14:textId="77777777" w:rsidR="004A1E9D" w:rsidRPr="00DB0F13" w:rsidRDefault="004A1E9D" w:rsidP="004A1E9D">
            <w:pPr>
              <w:jc w:val="center"/>
              <w:rPr>
                <w:color w:val="000000"/>
                <w:sz w:val="22"/>
              </w:rPr>
            </w:pPr>
            <w:r w:rsidRPr="00DB0F13">
              <w:rPr>
                <w:color w:val="000000"/>
                <w:sz w:val="22"/>
              </w:rPr>
              <w:t>2012</w:t>
            </w:r>
          </w:p>
        </w:tc>
        <w:tc>
          <w:tcPr>
            <w:tcW w:w="4500" w:type="dxa"/>
            <w:tcBorders>
              <w:top w:val="nil"/>
              <w:left w:val="nil"/>
              <w:bottom w:val="single" w:sz="4" w:space="0" w:color="auto"/>
              <w:right w:val="single" w:sz="4" w:space="0" w:color="auto"/>
            </w:tcBorders>
            <w:shd w:val="clear" w:color="auto" w:fill="auto"/>
            <w:noWrap/>
            <w:vAlign w:val="center"/>
          </w:tcPr>
          <w:p w14:paraId="630E0231" w14:textId="488927F0" w:rsidR="004A1E9D" w:rsidRPr="00DB0F13" w:rsidRDefault="004A1E9D" w:rsidP="004A1E9D">
            <w:pPr>
              <w:jc w:val="center"/>
              <w:rPr>
                <w:color w:val="000000"/>
                <w:sz w:val="22"/>
              </w:rPr>
            </w:pPr>
            <w:r>
              <w:rPr>
                <w:color w:val="000000"/>
                <w:sz w:val="22"/>
              </w:rPr>
              <w:t>43,813</w:t>
            </w:r>
          </w:p>
        </w:tc>
      </w:tr>
      <w:tr w:rsidR="004A1E9D" w:rsidRPr="003064B6" w14:paraId="1A1AD67A" w14:textId="77777777" w:rsidTr="00B071A1">
        <w:trPr>
          <w:trHeight w:val="288"/>
        </w:trPr>
        <w:tc>
          <w:tcPr>
            <w:tcW w:w="3055" w:type="dxa"/>
            <w:tcBorders>
              <w:top w:val="nil"/>
              <w:left w:val="single" w:sz="4" w:space="0" w:color="auto"/>
              <w:bottom w:val="single" w:sz="4" w:space="0" w:color="auto"/>
              <w:right w:val="single" w:sz="4" w:space="0" w:color="auto"/>
            </w:tcBorders>
            <w:shd w:val="clear" w:color="auto" w:fill="auto"/>
            <w:noWrap/>
            <w:vAlign w:val="center"/>
          </w:tcPr>
          <w:p w14:paraId="10E1BEBA" w14:textId="77777777" w:rsidR="004A1E9D" w:rsidRPr="00DB0F13" w:rsidRDefault="004A1E9D" w:rsidP="004A1E9D">
            <w:pPr>
              <w:jc w:val="center"/>
              <w:rPr>
                <w:color w:val="000000"/>
                <w:sz w:val="22"/>
              </w:rPr>
            </w:pPr>
            <w:r w:rsidRPr="00DB0F13">
              <w:rPr>
                <w:color w:val="000000"/>
                <w:sz w:val="22"/>
              </w:rPr>
              <w:t>2013</w:t>
            </w:r>
          </w:p>
        </w:tc>
        <w:tc>
          <w:tcPr>
            <w:tcW w:w="4500" w:type="dxa"/>
            <w:tcBorders>
              <w:top w:val="nil"/>
              <w:left w:val="nil"/>
              <w:bottom w:val="single" w:sz="4" w:space="0" w:color="auto"/>
              <w:right w:val="single" w:sz="4" w:space="0" w:color="auto"/>
            </w:tcBorders>
            <w:shd w:val="clear" w:color="auto" w:fill="auto"/>
            <w:noWrap/>
            <w:vAlign w:val="center"/>
          </w:tcPr>
          <w:p w14:paraId="3F5EAFD3" w14:textId="08A3B1B8" w:rsidR="004A1E9D" w:rsidRPr="00DB0F13" w:rsidRDefault="004A1E9D" w:rsidP="004A1E9D">
            <w:pPr>
              <w:jc w:val="center"/>
              <w:rPr>
                <w:color w:val="000000"/>
                <w:sz w:val="22"/>
              </w:rPr>
            </w:pPr>
            <w:r>
              <w:rPr>
                <w:color w:val="000000"/>
                <w:sz w:val="22"/>
              </w:rPr>
              <w:t>39,566</w:t>
            </w:r>
          </w:p>
        </w:tc>
      </w:tr>
      <w:tr w:rsidR="004A1E9D" w:rsidRPr="003064B6" w14:paraId="31280783" w14:textId="77777777" w:rsidTr="00B071A1">
        <w:trPr>
          <w:trHeight w:val="288"/>
        </w:trPr>
        <w:tc>
          <w:tcPr>
            <w:tcW w:w="3055" w:type="dxa"/>
            <w:tcBorders>
              <w:top w:val="nil"/>
              <w:left w:val="single" w:sz="4" w:space="0" w:color="auto"/>
              <w:bottom w:val="single" w:sz="4" w:space="0" w:color="auto"/>
              <w:right w:val="single" w:sz="4" w:space="0" w:color="auto"/>
            </w:tcBorders>
            <w:shd w:val="clear" w:color="auto" w:fill="auto"/>
            <w:noWrap/>
            <w:vAlign w:val="center"/>
          </w:tcPr>
          <w:p w14:paraId="12A2D5AC" w14:textId="77777777" w:rsidR="004A1E9D" w:rsidRPr="00DB0F13" w:rsidRDefault="004A1E9D" w:rsidP="004A1E9D">
            <w:pPr>
              <w:jc w:val="center"/>
              <w:rPr>
                <w:color w:val="000000"/>
                <w:sz w:val="22"/>
              </w:rPr>
            </w:pPr>
            <w:r w:rsidRPr="00DB0F13">
              <w:rPr>
                <w:color w:val="000000"/>
                <w:sz w:val="22"/>
              </w:rPr>
              <w:t>2014</w:t>
            </w:r>
          </w:p>
        </w:tc>
        <w:tc>
          <w:tcPr>
            <w:tcW w:w="4500" w:type="dxa"/>
            <w:tcBorders>
              <w:top w:val="nil"/>
              <w:left w:val="nil"/>
              <w:bottom w:val="single" w:sz="4" w:space="0" w:color="auto"/>
              <w:right w:val="single" w:sz="4" w:space="0" w:color="auto"/>
            </w:tcBorders>
            <w:shd w:val="clear" w:color="auto" w:fill="auto"/>
            <w:noWrap/>
            <w:vAlign w:val="center"/>
          </w:tcPr>
          <w:p w14:paraId="0BEBE8AD" w14:textId="259373FA" w:rsidR="004A1E9D" w:rsidRPr="00DB0F13" w:rsidRDefault="004A1E9D" w:rsidP="004A1E9D">
            <w:pPr>
              <w:jc w:val="center"/>
              <w:rPr>
                <w:color w:val="000000"/>
                <w:sz w:val="22"/>
              </w:rPr>
            </w:pPr>
            <w:r>
              <w:rPr>
                <w:color w:val="000000"/>
                <w:sz w:val="22"/>
              </w:rPr>
              <w:t>45,048</w:t>
            </w:r>
          </w:p>
        </w:tc>
      </w:tr>
      <w:tr w:rsidR="004A1E9D" w:rsidRPr="003064B6" w14:paraId="420D4E23" w14:textId="77777777" w:rsidTr="00B071A1">
        <w:trPr>
          <w:trHeight w:val="288"/>
        </w:trPr>
        <w:tc>
          <w:tcPr>
            <w:tcW w:w="3055" w:type="dxa"/>
            <w:tcBorders>
              <w:top w:val="nil"/>
              <w:left w:val="single" w:sz="4" w:space="0" w:color="auto"/>
              <w:bottom w:val="single" w:sz="4" w:space="0" w:color="auto"/>
              <w:right w:val="single" w:sz="4" w:space="0" w:color="auto"/>
            </w:tcBorders>
            <w:shd w:val="clear" w:color="auto" w:fill="auto"/>
            <w:noWrap/>
            <w:vAlign w:val="center"/>
            <w:hideMark/>
          </w:tcPr>
          <w:p w14:paraId="67B5000F" w14:textId="77777777" w:rsidR="004A1E9D" w:rsidRPr="00DB0F13" w:rsidRDefault="004A1E9D" w:rsidP="004A1E9D">
            <w:pPr>
              <w:jc w:val="center"/>
              <w:rPr>
                <w:color w:val="000000"/>
                <w:sz w:val="22"/>
              </w:rPr>
            </w:pPr>
            <w:r w:rsidRPr="00DB0F13">
              <w:rPr>
                <w:color w:val="000000"/>
                <w:sz w:val="22"/>
              </w:rPr>
              <w:t>2015</w:t>
            </w:r>
          </w:p>
        </w:tc>
        <w:tc>
          <w:tcPr>
            <w:tcW w:w="4500" w:type="dxa"/>
            <w:tcBorders>
              <w:top w:val="nil"/>
              <w:left w:val="nil"/>
              <w:bottom w:val="single" w:sz="4" w:space="0" w:color="auto"/>
              <w:right w:val="single" w:sz="4" w:space="0" w:color="auto"/>
            </w:tcBorders>
            <w:shd w:val="clear" w:color="auto" w:fill="auto"/>
            <w:noWrap/>
            <w:vAlign w:val="center"/>
          </w:tcPr>
          <w:p w14:paraId="25D026A1" w14:textId="1DBA42EA" w:rsidR="004A1E9D" w:rsidRPr="00DB0F13" w:rsidRDefault="004A1E9D" w:rsidP="004A1E9D">
            <w:pPr>
              <w:jc w:val="center"/>
              <w:rPr>
                <w:color w:val="000000"/>
                <w:sz w:val="22"/>
              </w:rPr>
            </w:pPr>
            <w:r>
              <w:rPr>
                <w:color w:val="000000"/>
                <w:sz w:val="22"/>
              </w:rPr>
              <w:t>49,317</w:t>
            </w:r>
          </w:p>
        </w:tc>
      </w:tr>
      <w:tr w:rsidR="004A1E9D" w:rsidRPr="003064B6" w14:paraId="7C92FAFA" w14:textId="77777777" w:rsidTr="00B071A1">
        <w:trPr>
          <w:trHeight w:val="288"/>
        </w:trPr>
        <w:tc>
          <w:tcPr>
            <w:tcW w:w="3055" w:type="dxa"/>
            <w:tcBorders>
              <w:top w:val="nil"/>
              <w:left w:val="single" w:sz="4" w:space="0" w:color="auto"/>
              <w:bottom w:val="single" w:sz="4" w:space="0" w:color="auto"/>
              <w:right w:val="single" w:sz="4" w:space="0" w:color="auto"/>
            </w:tcBorders>
            <w:shd w:val="clear" w:color="auto" w:fill="auto"/>
            <w:noWrap/>
            <w:vAlign w:val="center"/>
            <w:hideMark/>
          </w:tcPr>
          <w:p w14:paraId="137B79CC" w14:textId="77777777" w:rsidR="004A1E9D" w:rsidRPr="00DB0F13" w:rsidRDefault="004A1E9D" w:rsidP="004A1E9D">
            <w:pPr>
              <w:jc w:val="center"/>
              <w:rPr>
                <w:color w:val="000000"/>
                <w:sz w:val="22"/>
              </w:rPr>
            </w:pPr>
            <w:r w:rsidRPr="00DB0F13">
              <w:rPr>
                <w:color w:val="000000"/>
                <w:sz w:val="22"/>
              </w:rPr>
              <w:t>2016</w:t>
            </w:r>
          </w:p>
        </w:tc>
        <w:tc>
          <w:tcPr>
            <w:tcW w:w="4500" w:type="dxa"/>
            <w:tcBorders>
              <w:top w:val="nil"/>
              <w:left w:val="nil"/>
              <w:bottom w:val="single" w:sz="4" w:space="0" w:color="auto"/>
              <w:right w:val="single" w:sz="4" w:space="0" w:color="auto"/>
            </w:tcBorders>
            <w:shd w:val="clear" w:color="auto" w:fill="auto"/>
            <w:noWrap/>
            <w:vAlign w:val="center"/>
          </w:tcPr>
          <w:p w14:paraId="02FC3BDD" w14:textId="2C8ED571" w:rsidR="004A1E9D" w:rsidRPr="00DB0F13" w:rsidRDefault="004A1E9D" w:rsidP="004A1E9D">
            <w:pPr>
              <w:jc w:val="center"/>
              <w:rPr>
                <w:color w:val="000000"/>
                <w:sz w:val="22"/>
              </w:rPr>
            </w:pPr>
            <w:r>
              <w:rPr>
                <w:color w:val="000000"/>
                <w:sz w:val="22"/>
              </w:rPr>
              <w:t>53,743</w:t>
            </w:r>
          </w:p>
        </w:tc>
      </w:tr>
      <w:tr w:rsidR="004A1E9D" w:rsidRPr="003064B6" w14:paraId="1C59FBE1" w14:textId="77777777" w:rsidTr="00B071A1">
        <w:trPr>
          <w:trHeight w:val="288"/>
        </w:trPr>
        <w:tc>
          <w:tcPr>
            <w:tcW w:w="3055" w:type="dxa"/>
            <w:tcBorders>
              <w:top w:val="nil"/>
              <w:left w:val="single" w:sz="4" w:space="0" w:color="auto"/>
              <w:bottom w:val="single" w:sz="4" w:space="0" w:color="auto"/>
              <w:right w:val="single" w:sz="4" w:space="0" w:color="auto"/>
            </w:tcBorders>
            <w:shd w:val="clear" w:color="auto" w:fill="auto"/>
            <w:noWrap/>
            <w:vAlign w:val="center"/>
            <w:hideMark/>
          </w:tcPr>
          <w:p w14:paraId="2DB342BB" w14:textId="77777777" w:rsidR="004A1E9D" w:rsidRPr="00DB0F13" w:rsidRDefault="004A1E9D" w:rsidP="004A1E9D">
            <w:pPr>
              <w:jc w:val="center"/>
              <w:rPr>
                <w:color w:val="000000"/>
                <w:sz w:val="22"/>
              </w:rPr>
            </w:pPr>
            <w:r w:rsidRPr="00DB0F13">
              <w:rPr>
                <w:color w:val="000000"/>
                <w:sz w:val="22"/>
              </w:rPr>
              <w:t>2017</w:t>
            </w:r>
          </w:p>
        </w:tc>
        <w:tc>
          <w:tcPr>
            <w:tcW w:w="4500" w:type="dxa"/>
            <w:tcBorders>
              <w:top w:val="nil"/>
              <w:left w:val="nil"/>
              <w:bottom w:val="single" w:sz="4" w:space="0" w:color="auto"/>
              <w:right w:val="single" w:sz="4" w:space="0" w:color="auto"/>
            </w:tcBorders>
            <w:shd w:val="clear" w:color="auto" w:fill="auto"/>
            <w:noWrap/>
            <w:vAlign w:val="center"/>
          </w:tcPr>
          <w:p w14:paraId="5113C7CA" w14:textId="39173885" w:rsidR="004A1E9D" w:rsidRPr="00DB0F13" w:rsidRDefault="004A1E9D" w:rsidP="004A1E9D">
            <w:pPr>
              <w:jc w:val="center"/>
              <w:rPr>
                <w:color w:val="000000"/>
                <w:sz w:val="22"/>
              </w:rPr>
            </w:pPr>
            <w:r>
              <w:rPr>
                <w:color w:val="000000"/>
                <w:sz w:val="22"/>
              </w:rPr>
              <w:t>57,055</w:t>
            </w:r>
          </w:p>
        </w:tc>
      </w:tr>
      <w:tr w:rsidR="004A1E9D" w:rsidRPr="003064B6" w14:paraId="5A725DFE" w14:textId="77777777" w:rsidTr="00B071A1">
        <w:trPr>
          <w:trHeight w:val="288"/>
        </w:trPr>
        <w:tc>
          <w:tcPr>
            <w:tcW w:w="3055" w:type="dxa"/>
            <w:tcBorders>
              <w:top w:val="nil"/>
              <w:left w:val="single" w:sz="4" w:space="0" w:color="auto"/>
              <w:bottom w:val="single" w:sz="4" w:space="0" w:color="auto"/>
              <w:right w:val="single" w:sz="4" w:space="0" w:color="auto"/>
            </w:tcBorders>
            <w:shd w:val="clear" w:color="auto" w:fill="auto"/>
            <w:noWrap/>
            <w:vAlign w:val="center"/>
          </w:tcPr>
          <w:p w14:paraId="6FE472FE" w14:textId="5E706110" w:rsidR="004A1E9D" w:rsidRPr="00DB0F13" w:rsidRDefault="004A1E9D" w:rsidP="004A1E9D">
            <w:pPr>
              <w:jc w:val="center"/>
              <w:rPr>
                <w:color w:val="000000"/>
                <w:sz w:val="22"/>
              </w:rPr>
            </w:pPr>
            <w:r w:rsidRPr="00DB0F13">
              <w:rPr>
                <w:color w:val="000000"/>
                <w:sz w:val="22"/>
              </w:rPr>
              <w:t>2018</w:t>
            </w:r>
          </w:p>
        </w:tc>
        <w:tc>
          <w:tcPr>
            <w:tcW w:w="4500" w:type="dxa"/>
            <w:tcBorders>
              <w:top w:val="nil"/>
              <w:left w:val="nil"/>
              <w:bottom w:val="single" w:sz="4" w:space="0" w:color="auto"/>
              <w:right w:val="single" w:sz="4" w:space="0" w:color="auto"/>
            </w:tcBorders>
            <w:shd w:val="clear" w:color="auto" w:fill="auto"/>
            <w:noWrap/>
            <w:vAlign w:val="center"/>
          </w:tcPr>
          <w:p w14:paraId="2A1C6918" w14:textId="13DF68F7" w:rsidR="004A1E9D" w:rsidRPr="00DB0F13" w:rsidRDefault="004A1E9D" w:rsidP="004A1E9D">
            <w:pPr>
              <w:jc w:val="center"/>
              <w:rPr>
                <w:color w:val="000000"/>
                <w:sz w:val="22"/>
              </w:rPr>
            </w:pPr>
            <w:r>
              <w:rPr>
                <w:color w:val="000000"/>
                <w:sz w:val="22"/>
              </w:rPr>
              <w:t>47,198</w:t>
            </w:r>
          </w:p>
        </w:tc>
      </w:tr>
      <w:tr w:rsidR="004A1E9D" w:rsidRPr="003064B6" w14:paraId="46E7E49F" w14:textId="77777777" w:rsidTr="00B071A1">
        <w:trPr>
          <w:trHeight w:val="288"/>
        </w:trPr>
        <w:tc>
          <w:tcPr>
            <w:tcW w:w="3055" w:type="dxa"/>
            <w:tcBorders>
              <w:top w:val="nil"/>
              <w:left w:val="single" w:sz="4" w:space="0" w:color="auto"/>
              <w:bottom w:val="single" w:sz="4" w:space="0" w:color="auto"/>
              <w:right w:val="single" w:sz="4" w:space="0" w:color="auto"/>
            </w:tcBorders>
            <w:shd w:val="clear" w:color="auto" w:fill="auto"/>
            <w:noWrap/>
            <w:vAlign w:val="center"/>
          </w:tcPr>
          <w:p w14:paraId="07C2CC52" w14:textId="459E28D3" w:rsidR="004A1E9D" w:rsidRPr="00DB0F13" w:rsidRDefault="004A1E9D" w:rsidP="004A1E9D">
            <w:pPr>
              <w:jc w:val="center"/>
              <w:rPr>
                <w:color w:val="000000"/>
                <w:sz w:val="22"/>
              </w:rPr>
            </w:pPr>
            <w:r>
              <w:rPr>
                <w:color w:val="000000"/>
                <w:sz w:val="22"/>
              </w:rPr>
              <w:t>2019</w:t>
            </w:r>
          </w:p>
        </w:tc>
        <w:tc>
          <w:tcPr>
            <w:tcW w:w="4500" w:type="dxa"/>
            <w:tcBorders>
              <w:top w:val="nil"/>
              <w:left w:val="nil"/>
              <w:bottom w:val="single" w:sz="4" w:space="0" w:color="auto"/>
              <w:right w:val="single" w:sz="4" w:space="0" w:color="auto"/>
            </w:tcBorders>
            <w:shd w:val="clear" w:color="auto" w:fill="auto"/>
            <w:noWrap/>
            <w:vAlign w:val="center"/>
          </w:tcPr>
          <w:p w14:paraId="57252421" w14:textId="7F56A7BC" w:rsidR="004A1E9D" w:rsidRPr="00DB0F13" w:rsidRDefault="004A1E9D" w:rsidP="004A1E9D">
            <w:pPr>
              <w:jc w:val="center"/>
              <w:rPr>
                <w:sz w:val="22"/>
              </w:rPr>
            </w:pPr>
            <w:r>
              <w:rPr>
                <w:color w:val="000000"/>
                <w:sz w:val="22"/>
              </w:rPr>
              <w:t>45,456</w:t>
            </w:r>
          </w:p>
        </w:tc>
      </w:tr>
      <w:tr w:rsidR="004A1E9D" w:rsidRPr="003064B6" w14:paraId="0F7F7C18" w14:textId="77777777" w:rsidTr="00B071A1">
        <w:trPr>
          <w:trHeight w:val="288"/>
        </w:trPr>
        <w:tc>
          <w:tcPr>
            <w:tcW w:w="3055" w:type="dxa"/>
            <w:tcBorders>
              <w:top w:val="nil"/>
              <w:left w:val="single" w:sz="4" w:space="0" w:color="auto"/>
              <w:bottom w:val="single" w:sz="4" w:space="0" w:color="auto"/>
              <w:right w:val="single" w:sz="4" w:space="0" w:color="auto"/>
            </w:tcBorders>
            <w:shd w:val="clear" w:color="auto" w:fill="auto"/>
            <w:noWrap/>
            <w:vAlign w:val="center"/>
          </w:tcPr>
          <w:p w14:paraId="7258545B" w14:textId="5C1C072A" w:rsidR="004A1E9D" w:rsidRPr="00DB0F13" w:rsidRDefault="004A1E9D" w:rsidP="004A1E9D">
            <w:pPr>
              <w:jc w:val="center"/>
              <w:rPr>
                <w:color w:val="000000"/>
                <w:sz w:val="22"/>
              </w:rPr>
            </w:pPr>
            <w:r>
              <w:rPr>
                <w:color w:val="000000"/>
                <w:sz w:val="22"/>
              </w:rPr>
              <w:t>2020</w:t>
            </w:r>
          </w:p>
        </w:tc>
        <w:tc>
          <w:tcPr>
            <w:tcW w:w="4500" w:type="dxa"/>
            <w:tcBorders>
              <w:top w:val="nil"/>
              <w:left w:val="nil"/>
              <w:bottom w:val="single" w:sz="4" w:space="0" w:color="auto"/>
              <w:right w:val="single" w:sz="4" w:space="0" w:color="auto"/>
            </w:tcBorders>
            <w:shd w:val="clear" w:color="auto" w:fill="auto"/>
            <w:noWrap/>
            <w:vAlign w:val="center"/>
          </w:tcPr>
          <w:p w14:paraId="41A91B0C" w14:textId="2005BCE0" w:rsidR="004A1E9D" w:rsidRPr="00DB0F13" w:rsidRDefault="004A1E9D" w:rsidP="004A1E9D">
            <w:pPr>
              <w:jc w:val="center"/>
              <w:rPr>
                <w:sz w:val="22"/>
              </w:rPr>
            </w:pPr>
            <w:r>
              <w:rPr>
                <w:color w:val="000000"/>
                <w:sz w:val="22"/>
              </w:rPr>
              <w:t>54,915</w:t>
            </w:r>
          </w:p>
        </w:tc>
      </w:tr>
      <w:tr w:rsidR="004A1E9D" w:rsidRPr="003064B6" w14:paraId="4C6A9D60" w14:textId="77777777" w:rsidTr="00B071A1">
        <w:trPr>
          <w:trHeight w:val="288"/>
        </w:trPr>
        <w:tc>
          <w:tcPr>
            <w:tcW w:w="3055"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14:paraId="4320BAA8" w14:textId="77777777" w:rsidR="004A1E9D" w:rsidRPr="00DB0F13" w:rsidRDefault="004A1E9D" w:rsidP="004A1E9D">
            <w:pPr>
              <w:jc w:val="center"/>
              <w:rPr>
                <w:b/>
                <w:bCs/>
                <w:color w:val="000000"/>
                <w:sz w:val="22"/>
              </w:rPr>
            </w:pPr>
            <w:r w:rsidRPr="00DB0F13">
              <w:rPr>
                <w:b/>
                <w:bCs/>
                <w:color w:val="000000"/>
                <w:sz w:val="22"/>
              </w:rPr>
              <w:t>Total</w:t>
            </w:r>
          </w:p>
        </w:tc>
        <w:tc>
          <w:tcPr>
            <w:tcW w:w="4500" w:type="dxa"/>
            <w:tcBorders>
              <w:top w:val="nil"/>
              <w:left w:val="nil"/>
              <w:bottom w:val="single" w:sz="4" w:space="0" w:color="auto"/>
              <w:right w:val="single" w:sz="4" w:space="0" w:color="auto"/>
            </w:tcBorders>
            <w:shd w:val="clear" w:color="auto" w:fill="BFBFBF" w:themeFill="background1" w:themeFillShade="BF"/>
            <w:noWrap/>
            <w:vAlign w:val="bottom"/>
          </w:tcPr>
          <w:p w14:paraId="59A5A9A7" w14:textId="7DF36645" w:rsidR="004A1E9D" w:rsidRPr="00DB0F13" w:rsidRDefault="004A1E9D" w:rsidP="004A1E9D">
            <w:pPr>
              <w:jc w:val="center"/>
              <w:rPr>
                <w:b/>
                <w:bCs/>
                <w:color w:val="000000"/>
                <w:sz w:val="22"/>
              </w:rPr>
            </w:pPr>
            <w:r>
              <w:rPr>
                <w:b/>
                <w:bCs/>
                <w:color w:val="000000"/>
                <w:sz w:val="22"/>
              </w:rPr>
              <w:t>612,422</w:t>
            </w:r>
          </w:p>
        </w:tc>
      </w:tr>
      <w:tr w:rsidR="004A1E9D" w:rsidRPr="003064B6" w14:paraId="7FFC2361" w14:textId="77777777" w:rsidTr="00B071A1">
        <w:trPr>
          <w:trHeight w:val="288"/>
        </w:trPr>
        <w:tc>
          <w:tcPr>
            <w:tcW w:w="3055"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14:paraId="3124486A" w14:textId="77777777" w:rsidR="004A1E9D" w:rsidRPr="00DB0F13" w:rsidRDefault="004A1E9D" w:rsidP="004A1E9D">
            <w:pPr>
              <w:jc w:val="center"/>
              <w:rPr>
                <w:b/>
                <w:bCs/>
                <w:color w:val="000000"/>
                <w:sz w:val="22"/>
              </w:rPr>
            </w:pPr>
            <w:r w:rsidRPr="00DB0F13">
              <w:rPr>
                <w:b/>
                <w:bCs/>
                <w:color w:val="000000"/>
                <w:sz w:val="22"/>
              </w:rPr>
              <w:t>Average</w:t>
            </w:r>
          </w:p>
        </w:tc>
        <w:tc>
          <w:tcPr>
            <w:tcW w:w="4500" w:type="dxa"/>
            <w:tcBorders>
              <w:top w:val="nil"/>
              <w:left w:val="nil"/>
              <w:bottom w:val="single" w:sz="4" w:space="0" w:color="auto"/>
              <w:right w:val="single" w:sz="4" w:space="0" w:color="auto"/>
            </w:tcBorders>
            <w:shd w:val="clear" w:color="auto" w:fill="BFBFBF" w:themeFill="background1" w:themeFillShade="BF"/>
            <w:noWrap/>
            <w:vAlign w:val="bottom"/>
          </w:tcPr>
          <w:p w14:paraId="57FACA7F" w14:textId="17135A34" w:rsidR="004A1E9D" w:rsidRPr="00DB0F13" w:rsidRDefault="004A1E9D" w:rsidP="004A1E9D">
            <w:pPr>
              <w:jc w:val="center"/>
              <w:rPr>
                <w:b/>
                <w:bCs/>
                <w:color w:val="000000"/>
                <w:sz w:val="22"/>
              </w:rPr>
            </w:pPr>
            <w:r>
              <w:rPr>
                <w:b/>
                <w:bCs/>
                <w:color w:val="000000"/>
                <w:sz w:val="22"/>
              </w:rPr>
              <w:t>43,744</w:t>
            </w:r>
          </w:p>
        </w:tc>
      </w:tr>
    </w:tbl>
    <w:p w14:paraId="4EECDAAD" w14:textId="5158AFDD" w:rsidR="005D0F4D" w:rsidRDefault="004E0658" w:rsidP="00B9798C">
      <w:pPr>
        <w:pStyle w:val="ListParagraph"/>
        <w:numPr>
          <w:ilvl w:val="0"/>
          <w:numId w:val="3"/>
        </w:numPr>
        <w:spacing w:before="240" w:after="240"/>
        <w:ind w:left="360"/>
        <w:rPr>
          <w:b/>
        </w:rPr>
      </w:pPr>
      <w:r>
        <w:rPr>
          <w:b/>
        </w:rPr>
        <w:t xml:space="preserve">Pathfinder EA </w:t>
      </w:r>
      <w:r w:rsidR="00C6606F">
        <w:rPr>
          <w:b/>
        </w:rPr>
        <w:t xml:space="preserve">and Pathfinder Municipal Account </w:t>
      </w:r>
      <w:r w:rsidR="00EC5F19">
        <w:rPr>
          <w:b/>
        </w:rPr>
        <w:t>Lease</w:t>
      </w:r>
    </w:p>
    <w:p w14:paraId="31488384" w14:textId="14F315B7" w:rsidR="00C6606F" w:rsidRDefault="00C46774" w:rsidP="00AB501B">
      <w:pPr>
        <w:pStyle w:val="ListParagraph"/>
        <w:spacing w:before="120" w:after="240"/>
        <w:ind w:left="0"/>
        <w:rPr>
          <w:szCs w:val="24"/>
        </w:rPr>
      </w:pPr>
      <w:r>
        <w:rPr>
          <w:szCs w:val="24"/>
        </w:rPr>
        <w:t xml:space="preserve">The Pathfinder EA, with a capacity of 33,493 AF, represents Wyoming’s contribution to the initial state water projects for the Program.  Completed as part of the Pathfinder Modification Project, the Pathfinder EA first made releases in 2012.  </w:t>
      </w:r>
      <w:r w:rsidR="00487C18">
        <w:rPr>
          <w:szCs w:val="24"/>
        </w:rPr>
        <w:t xml:space="preserve">The volume of water in the account is tracked daily in USBR’s North Platte Ownership Accounting.  </w:t>
      </w:r>
      <w:r>
        <w:rPr>
          <w:szCs w:val="24"/>
        </w:rPr>
        <w:t xml:space="preserve">Water that accrues to the account </w:t>
      </w:r>
      <w:r w:rsidR="004D303A">
        <w:rPr>
          <w:szCs w:val="24"/>
        </w:rPr>
        <w:t xml:space="preserve">during the water year (starting the previous October) </w:t>
      </w:r>
      <w:r>
        <w:rPr>
          <w:szCs w:val="24"/>
        </w:rPr>
        <w:t>is released at the end of the irrigation season</w:t>
      </w:r>
      <w:r w:rsidR="004D303A">
        <w:rPr>
          <w:szCs w:val="24"/>
        </w:rPr>
        <w:t xml:space="preserve"> (late August or early September).  Based on </w:t>
      </w:r>
      <w:r w:rsidR="00487C18">
        <w:rPr>
          <w:szCs w:val="24"/>
        </w:rPr>
        <w:t>the ownership accounting</w:t>
      </w:r>
      <w:r w:rsidR="004D303A">
        <w:rPr>
          <w:szCs w:val="24"/>
        </w:rPr>
        <w:t>, Pathfinder EA water is first transferred to Glendo Reservoir</w:t>
      </w:r>
      <w:r w:rsidR="00BA01B6">
        <w:rPr>
          <w:szCs w:val="24"/>
        </w:rPr>
        <w:t xml:space="preserve"> and transit losses are applied</w:t>
      </w:r>
      <w:r w:rsidR="004D303A">
        <w:rPr>
          <w:szCs w:val="24"/>
        </w:rPr>
        <w:t xml:space="preserve">.  Once the Pathfinder EA water is released from Guernsey Reservoir, NDNR </w:t>
      </w:r>
      <w:r w:rsidR="00BA01B6">
        <w:rPr>
          <w:szCs w:val="24"/>
        </w:rPr>
        <w:t>tracks the flow down the North Platte River to Lake McConaughy, accounting for daily transit losses along the way.</w:t>
      </w:r>
      <w:r w:rsidR="00C6606F">
        <w:rPr>
          <w:szCs w:val="24"/>
        </w:rPr>
        <w:t xml:space="preserve">  </w:t>
      </w:r>
    </w:p>
    <w:p w14:paraId="64EE5B7D" w14:textId="77B36898" w:rsidR="00EC5F19" w:rsidRDefault="00EC5F19" w:rsidP="00EC5F19">
      <w:pPr>
        <w:pStyle w:val="ListParagraph"/>
        <w:spacing w:before="120" w:after="240"/>
        <w:ind w:left="0"/>
      </w:pPr>
      <w:r>
        <w:rPr>
          <w:szCs w:val="24"/>
        </w:rPr>
        <w:lastRenderedPageBreak/>
        <w:t>In 2011, the Program signed an agreement with the Wyoming Water Development Office (WWDO) to lease water from the Pathfinder Municipal Account</w:t>
      </w:r>
      <w:r>
        <w:rPr>
          <w:rStyle w:val="FootnoteReference"/>
          <w:szCs w:val="24"/>
        </w:rPr>
        <w:footnoteReference w:id="19"/>
      </w:r>
      <w:r>
        <w:rPr>
          <w:szCs w:val="24"/>
        </w:rPr>
        <w:t xml:space="preserve">.  A new agreement extended the lease through the First Increment Extension from 2020-2032, with water available to the Program at $65/AF for the duration.  The volume of water in the Pathfinder Municipal Account is tracked in USBR’s North Platte Ownership Accounting.  </w:t>
      </w:r>
      <w:r>
        <w:t xml:space="preserve">In the spring of each year, the WWDO provides an estimate of water available to the Program from the account.  By mid-summer, the WWDO may revise the amount available based on runoff accruals to the account during the intervening months.  If at least 4,800 AF is available, the Program is obligated to purchase that much at a minimum.  Additional water may be available up to a total of 9,600 AF.  If </w:t>
      </w:r>
      <w:r w:rsidR="009B5A08">
        <w:t xml:space="preserve">the </w:t>
      </w:r>
      <w:r>
        <w:t xml:space="preserve">WWDO determines that anything less than 4,800 AF is available in a given year, ranging from 0 to 4,799 AF, then that would be the amount the Program could lease that year. </w:t>
      </w:r>
    </w:p>
    <w:p w14:paraId="57BE91AF" w14:textId="68481731" w:rsidR="00021E49" w:rsidRDefault="00C6606F" w:rsidP="00E72742">
      <w:pPr>
        <w:pStyle w:val="ListParagraph"/>
        <w:spacing w:before="120" w:after="240"/>
        <w:ind w:left="0"/>
        <w:rPr>
          <w:b/>
          <w:sz w:val="22"/>
        </w:rPr>
      </w:pPr>
      <w:r>
        <w:rPr>
          <w:szCs w:val="24"/>
        </w:rPr>
        <w:t>Since water from the Pathfinder EA and Pathfinder Municipal Account is generally transferred from the reservoir at the same time, the EDO assumes for Program accounting that the relative proportions remain the same even as losses are accounted for in transit to Lake McConaughy.</w:t>
      </w:r>
      <w:r w:rsidR="004F6B26">
        <w:rPr>
          <w:szCs w:val="24"/>
        </w:rPr>
        <w:t xml:space="preserve">  For example, in 2020 a total of 41,585 AF was released from Pathfinder Reservoir for the Program, of which 77% was Pathfinder EA water (31,985 AF) and 23% was from the Pathfinder Municipal Account (9,600 AF).  Based on NDNR’s tracking, 35,322 AF of that water reached Lake McConaughy and was assumed to be 77% (27,168 AF) from the Pathfinder EA and 23% (8,154 AF) from the Pathfinder Municipal Account.</w:t>
      </w:r>
      <w:r>
        <w:rPr>
          <w:szCs w:val="24"/>
        </w:rPr>
        <w:t xml:space="preserve"> </w:t>
      </w:r>
      <w:r w:rsidR="00BA01B6">
        <w:rPr>
          <w:szCs w:val="24"/>
        </w:rPr>
        <w:t xml:space="preserve"> </w:t>
      </w:r>
      <w:r w:rsidR="00DF7A5D" w:rsidRPr="00DF7A5D">
        <w:rPr>
          <w:b/>
          <w:szCs w:val="24"/>
        </w:rPr>
        <w:t xml:space="preserve">Table </w:t>
      </w:r>
      <w:r w:rsidR="00E72742">
        <w:rPr>
          <w:b/>
          <w:szCs w:val="24"/>
        </w:rPr>
        <w:t>14</w:t>
      </w:r>
      <w:r w:rsidR="00E27C8F">
        <w:rPr>
          <w:szCs w:val="24"/>
        </w:rPr>
        <w:t xml:space="preserve"> </w:t>
      </w:r>
      <w:r w:rsidR="00DF7A5D">
        <w:rPr>
          <w:szCs w:val="24"/>
        </w:rPr>
        <w:t xml:space="preserve">shows the history of Pathfinder EA </w:t>
      </w:r>
      <w:r w:rsidR="003127B9">
        <w:rPr>
          <w:szCs w:val="24"/>
        </w:rPr>
        <w:t xml:space="preserve">and Pathfinder Municipal Account </w:t>
      </w:r>
      <w:r w:rsidR="00DF7A5D">
        <w:rPr>
          <w:szCs w:val="24"/>
        </w:rPr>
        <w:t xml:space="preserve">releases and </w:t>
      </w:r>
      <w:r w:rsidR="00BA01B6">
        <w:rPr>
          <w:szCs w:val="24"/>
        </w:rPr>
        <w:t>volumes credited to the</w:t>
      </w:r>
      <w:r w:rsidR="00DF7A5D">
        <w:rPr>
          <w:szCs w:val="24"/>
        </w:rPr>
        <w:t xml:space="preserve"> Lake McConaughy EA over the period 2012-2</w:t>
      </w:r>
      <w:r w:rsidR="00BA01B6">
        <w:rPr>
          <w:szCs w:val="24"/>
        </w:rPr>
        <w:t>020</w:t>
      </w:r>
      <w:r w:rsidR="00DF7A5D">
        <w:rPr>
          <w:szCs w:val="24"/>
        </w:rPr>
        <w:t>.</w:t>
      </w:r>
      <w:r w:rsidR="006325BA">
        <w:rPr>
          <w:szCs w:val="24"/>
        </w:rPr>
        <w:t xml:space="preserve">  Values are not rounded because they are derived directly from USBR and NDNR records. </w:t>
      </w:r>
    </w:p>
    <w:p w14:paraId="63C7ECE9" w14:textId="28CA26A0" w:rsidR="002740CB" w:rsidRPr="00A60630" w:rsidRDefault="002740CB" w:rsidP="002740CB">
      <w:pPr>
        <w:spacing w:line="240" w:lineRule="exact"/>
        <w:rPr>
          <w:b/>
          <w:sz w:val="22"/>
        </w:rPr>
      </w:pPr>
      <w:r w:rsidRPr="00A60630">
        <w:rPr>
          <w:b/>
          <w:sz w:val="22"/>
        </w:rPr>
        <w:t xml:space="preserve">Table </w:t>
      </w:r>
      <w:r w:rsidR="00E72742">
        <w:rPr>
          <w:b/>
          <w:sz w:val="22"/>
        </w:rPr>
        <w:t>14</w:t>
      </w:r>
      <w:r w:rsidR="009D4FD7">
        <w:rPr>
          <w:b/>
          <w:sz w:val="22"/>
        </w:rPr>
        <w:t>.</w:t>
      </w:r>
      <w:r w:rsidRPr="00A60630">
        <w:rPr>
          <w:b/>
          <w:sz w:val="22"/>
        </w:rPr>
        <w:t xml:space="preserve"> Pathfinder </w:t>
      </w:r>
      <w:r w:rsidR="00EC5F19">
        <w:rPr>
          <w:b/>
          <w:sz w:val="22"/>
        </w:rPr>
        <w:t>EA and Municipal Account</w:t>
      </w:r>
      <w:r w:rsidR="00193291">
        <w:rPr>
          <w:b/>
          <w:sz w:val="22"/>
        </w:rPr>
        <w:t xml:space="preserve"> Yields</w:t>
      </w:r>
      <w:r w:rsidR="00EC5F19">
        <w:rPr>
          <w:b/>
          <w:sz w:val="22"/>
        </w:rPr>
        <w:t>, 2012-2020</w:t>
      </w:r>
    </w:p>
    <w:tbl>
      <w:tblPr>
        <w:tblW w:w="945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90"/>
        <w:gridCol w:w="1890"/>
        <w:gridCol w:w="1890"/>
        <w:gridCol w:w="1890"/>
        <w:gridCol w:w="1890"/>
      </w:tblGrid>
      <w:tr w:rsidR="00EC5F19" w:rsidRPr="00A60630" w14:paraId="75AE025E" w14:textId="77777777" w:rsidTr="004C0203">
        <w:trPr>
          <w:trHeight w:val="512"/>
        </w:trPr>
        <w:tc>
          <w:tcPr>
            <w:tcW w:w="1890" w:type="dxa"/>
            <w:vMerge w:val="restart"/>
            <w:shd w:val="clear" w:color="auto" w:fill="C2D69B" w:themeFill="accent3" w:themeFillTint="99"/>
            <w:vAlign w:val="bottom"/>
          </w:tcPr>
          <w:p w14:paraId="4A19AC0D" w14:textId="6ADD0533" w:rsidR="00EC5F19" w:rsidRPr="00DB0F13" w:rsidRDefault="00EC5F19" w:rsidP="004C0203">
            <w:pPr>
              <w:jc w:val="center"/>
              <w:rPr>
                <w:b/>
                <w:bCs/>
                <w:color w:val="000000"/>
                <w:sz w:val="22"/>
              </w:rPr>
            </w:pPr>
            <w:r w:rsidRPr="00DB0F13">
              <w:rPr>
                <w:b/>
                <w:bCs/>
                <w:color w:val="000000"/>
                <w:sz w:val="22"/>
              </w:rPr>
              <w:t>Year</w:t>
            </w:r>
          </w:p>
        </w:tc>
        <w:tc>
          <w:tcPr>
            <w:tcW w:w="3780" w:type="dxa"/>
            <w:gridSpan w:val="2"/>
            <w:shd w:val="clear" w:color="auto" w:fill="C2D69B" w:themeFill="accent3" w:themeFillTint="99"/>
            <w:vAlign w:val="bottom"/>
          </w:tcPr>
          <w:p w14:paraId="125EBA40" w14:textId="77777777" w:rsidR="00EC5F19" w:rsidRDefault="00EC5F19" w:rsidP="004C0203">
            <w:pPr>
              <w:jc w:val="center"/>
              <w:rPr>
                <w:b/>
                <w:bCs/>
                <w:color w:val="000000"/>
                <w:sz w:val="22"/>
              </w:rPr>
            </w:pPr>
            <w:r>
              <w:rPr>
                <w:b/>
                <w:bCs/>
                <w:color w:val="000000"/>
                <w:sz w:val="22"/>
              </w:rPr>
              <w:t>Releases from Pathfinder Reservoir</w:t>
            </w:r>
          </w:p>
          <w:p w14:paraId="17F72D99" w14:textId="7B755C67" w:rsidR="003127B9" w:rsidRDefault="003127B9" w:rsidP="004C0203">
            <w:pPr>
              <w:jc w:val="center"/>
              <w:rPr>
                <w:b/>
                <w:bCs/>
                <w:color w:val="000000"/>
                <w:sz w:val="22"/>
              </w:rPr>
            </w:pPr>
            <w:r>
              <w:rPr>
                <w:b/>
                <w:bCs/>
                <w:color w:val="000000"/>
                <w:sz w:val="22"/>
              </w:rPr>
              <w:t>(AF)</w:t>
            </w:r>
          </w:p>
        </w:tc>
        <w:tc>
          <w:tcPr>
            <w:tcW w:w="3780" w:type="dxa"/>
            <w:gridSpan w:val="2"/>
            <w:shd w:val="clear" w:color="auto" w:fill="C2D69B" w:themeFill="accent3" w:themeFillTint="99"/>
            <w:vAlign w:val="bottom"/>
          </w:tcPr>
          <w:p w14:paraId="64BC57D1" w14:textId="77777777" w:rsidR="00EC5F19" w:rsidRDefault="00EC5F19" w:rsidP="004C0203">
            <w:pPr>
              <w:jc w:val="center"/>
              <w:rPr>
                <w:b/>
                <w:bCs/>
                <w:color w:val="000000"/>
                <w:sz w:val="22"/>
              </w:rPr>
            </w:pPr>
            <w:r>
              <w:rPr>
                <w:b/>
                <w:bCs/>
                <w:color w:val="000000"/>
                <w:sz w:val="22"/>
              </w:rPr>
              <w:t>Volume Credited to Lake McConaughy EA</w:t>
            </w:r>
          </w:p>
          <w:p w14:paraId="25061706" w14:textId="628177CE" w:rsidR="003127B9" w:rsidRDefault="003127B9" w:rsidP="004C0203">
            <w:pPr>
              <w:jc w:val="center"/>
              <w:rPr>
                <w:b/>
                <w:bCs/>
                <w:color w:val="000000"/>
                <w:sz w:val="22"/>
              </w:rPr>
            </w:pPr>
            <w:r>
              <w:rPr>
                <w:b/>
                <w:bCs/>
                <w:color w:val="000000"/>
                <w:sz w:val="22"/>
              </w:rPr>
              <w:t>(AF)</w:t>
            </w:r>
          </w:p>
        </w:tc>
      </w:tr>
      <w:tr w:rsidR="00EC5F19" w:rsidRPr="00A60630" w14:paraId="602080D6" w14:textId="4531143E" w:rsidTr="004C0203">
        <w:trPr>
          <w:trHeight w:val="512"/>
        </w:trPr>
        <w:tc>
          <w:tcPr>
            <w:tcW w:w="1890" w:type="dxa"/>
            <w:vMerge/>
            <w:shd w:val="clear" w:color="auto" w:fill="C2D69B" w:themeFill="accent3" w:themeFillTint="99"/>
            <w:vAlign w:val="bottom"/>
            <w:hideMark/>
          </w:tcPr>
          <w:p w14:paraId="07D89611" w14:textId="7E785EE2" w:rsidR="00EC5F19" w:rsidRPr="00DB0F13" w:rsidRDefault="00EC5F19" w:rsidP="004C0203">
            <w:pPr>
              <w:jc w:val="center"/>
              <w:rPr>
                <w:b/>
                <w:bCs/>
                <w:color w:val="000000"/>
                <w:sz w:val="22"/>
              </w:rPr>
            </w:pPr>
          </w:p>
        </w:tc>
        <w:tc>
          <w:tcPr>
            <w:tcW w:w="1890" w:type="dxa"/>
            <w:shd w:val="clear" w:color="auto" w:fill="C2D69B" w:themeFill="accent3" w:themeFillTint="99"/>
            <w:vAlign w:val="bottom"/>
            <w:hideMark/>
          </w:tcPr>
          <w:p w14:paraId="2D681ABF" w14:textId="3FCCE7F6" w:rsidR="00EC5F19" w:rsidRPr="00DB0F13" w:rsidRDefault="00EC5F19" w:rsidP="004C0203">
            <w:pPr>
              <w:jc w:val="center"/>
              <w:rPr>
                <w:b/>
                <w:bCs/>
                <w:color w:val="000000"/>
                <w:sz w:val="22"/>
              </w:rPr>
            </w:pPr>
            <w:r>
              <w:rPr>
                <w:b/>
                <w:bCs/>
                <w:color w:val="000000"/>
                <w:sz w:val="22"/>
              </w:rPr>
              <w:t>Pathfinder EA</w:t>
            </w:r>
          </w:p>
        </w:tc>
        <w:tc>
          <w:tcPr>
            <w:tcW w:w="1890" w:type="dxa"/>
            <w:shd w:val="clear" w:color="auto" w:fill="C2D69B" w:themeFill="accent3" w:themeFillTint="99"/>
            <w:vAlign w:val="bottom"/>
          </w:tcPr>
          <w:p w14:paraId="662E3442" w14:textId="22067F54" w:rsidR="00EC5F19" w:rsidRDefault="00EC5F19" w:rsidP="004C0203">
            <w:pPr>
              <w:jc w:val="center"/>
              <w:rPr>
                <w:b/>
                <w:bCs/>
                <w:color w:val="000000"/>
                <w:sz w:val="22"/>
              </w:rPr>
            </w:pPr>
            <w:r>
              <w:rPr>
                <w:b/>
                <w:bCs/>
                <w:color w:val="000000"/>
                <w:sz w:val="22"/>
              </w:rPr>
              <w:t>Pathfinder Municipal Account</w:t>
            </w:r>
          </w:p>
        </w:tc>
        <w:tc>
          <w:tcPr>
            <w:tcW w:w="1890" w:type="dxa"/>
            <w:shd w:val="clear" w:color="auto" w:fill="C2D69B" w:themeFill="accent3" w:themeFillTint="99"/>
            <w:vAlign w:val="bottom"/>
            <w:hideMark/>
          </w:tcPr>
          <w:p w14:paraId="0DD6D86C" w14:textId="5D785221" w:rsidR="00EC5F19" w:rsidRPr="00DB0F13" w:rsidRDefault="00EC5F19" w:rsidP="004C0203">
            <w:pPr>
              <w:jc w:val="center"/>
              <w:rPr>
                <w:b/>
                <w:bCs/>
                <w:color w:val="000000"/>
                <w:sz w:val="22"/>
              </w:rPr>
            </w:pPr>
            <w:r>
              <w:rPr>
                <w:b/>
                <w:bCs/>
                <w:color w:val="000000"/>
                <w:sz w:val="22"/>
              </w:rPr>
              <w:t>Pathfinder EA</w:t>
            </w:r>
            <w:r w:rsidRPr="00DB0F13">
              <w:rPr>
                <w:b/>
                <w:bCs/>
                <w:color w:val="000000"/>
                <w:sz w:val="22"/>
              </w:rPr>
              <w:t xml:space="preserve"> </w:t>
            </w:r>
            <w:r w:rsidRPr="00DB0F13">
              <w:rPr>
                <w:b/>
                <w:bCs/>
                <w:color w:val="000000"/>
                <w:sz w:val="22"/>
              </w:rPr>
              <w:br/>
            </w:r>
          </w:p>
        </w:tc>
        <w:tc>
          <w:tcPr>
            <w:tcW w:w="1890" w:type="dxa"/>
            <w:shd w:val="clear" w:color="auto" w:fill="C2D69B" w:themeFill="accent3" w:themeFillTint="99"/>
            <w:vAlign w:val="bottom"/>
          </w:tcPr>
          <w:p w14:paraId="06E26631" w14:textId="6EBAA28E" w:rsidR="00EC5F19" w:rsidRDefault="00EC5F19" w:rsidP="004C0203">
            <w:pPr>
              <w:jc w:val="center"/>
              <w:rPr>
                <w:b/>
                <w:bCs/>
                <w:color w:val="000000"/>
                <w:sz w:val="22"/>
              </w:rPr>
            </w:pPr>
            <w:r>
              <w:rPr>
                <w:b/>
                <w:bCs/>
                <w:color w:val="000000"/>
                <w:sz w:val="22"/>
              </w:rPr>
              <w:t>Pathfinder Municipal Account</w:t>
            </w:r>
          </w:p>
        </w:tc>
      </w:tr>
      <w:tr w:rsidR="003127B9" w:rsidRPr="00A60630" w14:paraId="62C254A5" w14:textId="36772D35" w:rsidTr="00F6061D">
        <w:trPr>
          <w:trHeight w:val="288"/>
        </w:trPr>
        <w:tc>
          <w:tcPr>
            <w:tcW w:w="1890" w:type="dxa"/>
            <w:shd w:val="clear" w:color="auto" w:fill="auto"/>
            <w:noWrap/>
            <w:vAlign w:val="center"/>
            <w:hideMark/>
          </w:tcPr>
          <w:p w14:paraId="59FB856E" w14:textId="77777777" w:rsidR="003127B9" w:rsidRPr="00DB0F13" w:rsidRDefault="003127B9" w:rsidP="003127B9">
            <w:pPr>
              <w:jc w:val="center"/>
              <w:rPr>
                <w:color w:val="000000"/>
                <w:sz w:val="22"/>
              </w:rPr>
            </w:pPr>
            <w:r w:rsidRPr="00DB0F13">
              <w:rPr>
                <w:color w:val="000000"/>
                <w:sz w:val="22"/>
              </w:rPr>
              <w:t>2012</w:t>
            </w:r>
          </w:p>
        </w:tc>
        <w:tc>
          <w:tcPr>
            <w:tcW w:w="1890" w:type="dxa"/>
            <w:shd w:val="clear" w:color="auto" w:fill="auto"/>
            <w:noWrap/>
            <w:vAlign w:val="center"/>
            <w:hideMark/>
          </w:tcPr>
          <w:p w14:paraId="213AB82F" w14:textId="0058EEF7" w:rsidR="003127B9" w:rsidRPr="00DB0F13" w:rsidRDefault="003127B9" w:rsidP="003127B9">
            <w:pPr>
              <w:jc w:val="center"/>
              <w:rPr>
                <w:color w:val="000000"/>
                <w:sz w:val="22"/>
              </w:rPr>
            </w:pPr>
            <w:r>
              <w:rPr>
                <w:color w:val="000000"/>
                <w:sz w:val="22"/>
              </w:rPr>
              <w:t>21,592</w:t>
            </w:r>
          </w:p>
        </w:tc>
        <w:tc>
          <w:tcPr>
            <w:tcW w:w="1890" w:type="dxa"/>
            <w:vAlign w:val="center"/>
          </w:tcPr>
          <w:p w14:paraId="7AF5BDBC" w14:textId="411EED9D" w:rsidR="003127B9" w:rsidRDefault="003127B9" w:rsidP="003127B9">
            <w:pPr>
              <w:jc w:val="center"/>
              <w:rPr>
                <w:color w:val="000000"/>
                <w:sz w:val="22"/>
              </w:rPr>
            </w:pPr>
            <w:r>
              <w:rPr>
                <w:color w:val="000000"/>
                <w:sz w:val="22"/>
              </w:rPr>
              <w:t>4,800</w:t>
            </w:r>
          </w:p>
        </w:tc>
        <w:tc>
          <w:tcPr>
            <w:tcW w:w="1890" w:type="dxa"/>
            <w:shd w:val="clear" w:color="auto" w:fill="auto"/>
            <w:noWrap/>
            <w:vAlign w:val="center"/>
            <w:hideMark/>
          </w:tcPr>
          <w:p w14:paraId="64B8BA24" w14:textId="1597C88E" w:rsidR="003127B9" w:rsidRPr="00DB0F13" w:rsidRDefault="003127B9" w:rsidP="003127B9">
            <w:pPr>
              <w:jc w:val="center"/>
              <w:rPr>
                <w:color w:val="000000"/>
                <w:sz w:val="22"/>
              </w:rPr>
            </w:pPr>
            <w:r>
              <w:rPr>
                <w:color w:val="000000"/>
                <w:sz w:val="22"/>
              </w:rPr>
              <w:t>19,660</w:t>
            </w:r>
          </w:p>
        </w:tc>
        <w:tc>
          <w:tcPr>
            <w:tcW w:w="1890" w:type="dxa"/>
            <w:vAlign w:val="center"/>
          </w:tcPr>
          <w:p w14:paraId="150E2811" w14:textId="46CACA3B" w:rsidR="003127B9" w:rsidRDefault="003127B9" w:rsidP="003127B9">
            <w:pPr>
              <w:jc w:val="center"/>
              <w:rPr>
                <w:color w:val="000000"/>
                <w:sz w:val="22"/>
              </w:rPr>
            </w:pPr>
            <w:r>
              <w:rPr>
                <w:color w:val="000000"/>
                <w:sz w:val="22"/>
              </w:rPr>
              <w:t>4,370</w:t>
            </w:r>
          </w:p>
        </w:tc>
      </w:tr>
      <w:tr w:rsidR="003127B9" w:rsidRPr="00A60630" w14:paraId="351FE473" w14:textId="5B23D789" w:rsidTr="00F6061D">
        <w:trPr>
          <w:trHeight w:val="288"/>
        </w:trPr>
        <w:tc>
          <w:tcPr>
            <w:tcW w:w="1890" w:type="dxa"/>
            <w:shd w:val="clear" w:color="auto" w:fill="auto"/>
            <w:noWrap/>
            <w:vAlign w:val="center"/>
            <w:hideMark/>
          </w:tcPr>
          <w:p w14:paraId="543624AB" w14:textId="77777777" w:rsidR="003127B9" w:rsidRPr="00DB0F13" w:rsidRDefault="003127B9" w:rsidP="003127B9">
            <w:pPr>
              <w:jc w:val="center"/>
              <w:rPr>
                <w:color w:val="000000"/>
                <w:sz w:val="22"/>
              </w:rPr>
            </w:pPr>
            <w:r w:rsidRPr="00DB0F13">
              <w:rPr>
                <w:color w:val="000000"/>
                <w:sz w:val="22"/>
              </w:rPr>
              <w:t>2013</w:t>
            </w:r>
          </w:p>
        </w:tc>
        <w:tc>
          <w:tcPr>
            <w:tcW w:w="1890" w:type="dxa"/>
            <w:shd w:val="clear" w:color="auto" w:fill="auto"/>
            <w:noWrap/>
            <w:vAlign w:val="center"/>
            <w:hideMark/>
          </w:tcPr>
          <w:p w14:paraId="3C298F16" w14:textId="0D184763" w:rsidR="003127B9" w:rsidRPr="00DB0F13" w:rsidRDefault="003127B9" w:rsidP="003127B9">
            <w:pPr>
              <w:jc w:val="center"/>
              <w:rPr>
                <w:color w:val="000000"/>
                <w:sz w:val="22"/>
              </w:rPr>
            </w:pPr>
            <w:r>
              <w:rPr>
                <w:color w:val="000000"/>
                <w:sz w:val="22"/>
              </w:rPr>
              <w:t>14,471</w:t>
            </w:r>
          </w:p>
        </w:tc>
        <w:tc>
          <w:tcPr>
            <w:tcW w:w="1890" w:type="dxa"/>
            <w:vAlign w:val="center"/>
          </w:tcPr>
          <w:p w14:paraId="0CEFA5AA" w14:textId="5A8E76F3" w:rsidR="003127B9" w:rsidRDefault="003127B9" w:rsidP="003127B9">
            <w:pPr>
              <w:jc w:val="center"/>
              <w:rPr>
                <w:color w:val="000000"/>
                <w:sz w:val="22"/>
              </w:rPr>
            </w:pPr>
            <w:r>
              <w:rPr>
                <w:color w:val="000000"/>
                <w:sz w:val="22"/>
              </w:rPr>
              <w:t>4,800</w:t>
            </w:r>
          </w:p>
        </w:tc>
        <w:tc>
          <w:tcPr>
            <w:tcW w:w="1890" w:type="dxa"/>
            <w:shd w:val="clear" w:color="auto" w:fill="auto"/>
            <w:noWrap/>
            <w:vAlign w:val="center"/>
            <w:hideMark/>
          </w:tcPr>
          <w:p w14:paraId="2163061A" w14:textId="407CC072" w:rsidR="003127B9" w:rsidRPr="00DB0F13" w:rsidRDefault="003127B9" w:rsidP="003127B9">
            <w:pPr>
              <w:jc w:val="center"/>
              <w:rPr>
                <w:color w:val="000000"/>
                <w:sz w:val="22"/>
              </w:rPr>
            </w:pPr>
            <w:r>
              <w:rPr>
                <w:color w:val="000000"/>
                <w:sz w:val="22"/>
              </w:rPr>
              <w:t>13,162</w:t>
            </w:r>
          </w:p>
        </w:tc>
        <w:tc>
          <w:tcPr>
            <w:tcW w:w="1890" w:type="dxa"/>
            <w:vAlign w:val="center"/>
          </w:tcPr>
          <w:p w14:paraId="091087ED" w14:textId="6CBD1EBC" w:rsidR="003127B9" w:rsidRDefault="003127B9" w:rsidP="003127B9">
            <w:pPr>
              <w:jc w:val="center"/>
              <w:rPr>
                <w:color w:val="000000"/>
                <w:sz w:val="22"/>
              </w:rPr>
            </w:pPr>
            <w:r>
              <w:rPr>
                <w:color w:val="000000"/>
                <w:sz w:val="22"/>
              </w:rPr>
              <w:t>4,366</w:t>
            </w:r>
          </w:p>
        </w:tc>
      </w:tr>
      <w:tr w:rsidR="003127B9" w:rsidRPr="00A60630" w14:paraId="6C8CEA78" w14:textId="5A3B4AD0" w:rsidTr="00F6061D">
        <w:trPr>
          <w:trHeight w:val="288"/>
        </w:trPr>
        <w:tc>
          <w:tcPr>
            <w:tcW w:w="1890" w:type="dxa"/>
            <w:shd w:val="clear" w:color="auto" w:fill="auto"/>
            <w:noWrap/>
            <w:vAlign w:val="center"/>
            <w:hideMark/>
          </w:tcPr>
          <w:p w14:paraId="238BCD25" w14:textId="77777777" w:rsidR="003127B9" w:rsidRPr="00DB0F13" w:rsidRDefault="003127B9" w:rsidP="003127B9">
            <w:pPr>
              <w:jc w:val="center"/>
              <w:rPr>
                <w:color w:val="000000"/>
                <w:sz w:val="22"/>
              </w:rPr>
            </w:pPr>
            <w:r w:rsidRPr="00DB0F13">
              <w:rPr>
                <w:color w:val="000000"/>
                <w:sz w:val="22"/>
              </w:rPr>
              <w:t>2014</w:t>
            </w:r>
          </w:p>
        </w:tc>
        <w:tc>
          <w:tcPr>
            <w:tcW w:w="1890" w:type="dxa"/>
            <w:shd w:val="clear" w:color="auto" w:fill="auto"/>
            <w:noWrap/>
            <w:vAlign w:val="center"/>
            <w:hideMark/>
          </w:tcPr>
          <w:p w14:paraId="4549D537" w14:textId="5F23D3AE" w:rsidR="003127B9" w:rsidRPr="00DB0F13" w:rsidRDefault="003127B9" w:rsidP="003127B9">
            <w:pPr>
              <w:jc w:val="center"/>
              <w:rPr>
                <w:color w:val="000000"/>
                <w:sz w:val="22"/>
              </w:rPr>
            </w:pPr>
            <w:r>
              <w:rPr>
                <w:color w:val="000000"/>
                <w:sz w:val="22"/>
              </w:rPr>
              <w:t>32,401</w:t>
            </w:r>
          </w:p>
        </w:tc>
        <w:tc>
          <w:tcPr>
            <w:tcW w:w="1890" w:type="dxa"/>
            <w:vAlign w:val="center"/>
          </w:tcPr>
          <w:p w14:paraId="55B231E7" w14:textId="26763D18" w:rsidR="003127B9" w:rsidRDefault="003127B9" w:rsidP="003127B9">
            <w:pPr>
              <w:jc w:val="center"/>
              <w:rPr>
                <w:color w:val="000000"/>
                <w:sz w:val="22"/>
              </w:rPr>
            </w:pPr>
            <w:r>
              <w:rPr>
                <w:color w:val="000000"/>
                <w:sz w:val="22"/>
              </w:rPr>
              <w:t>9,600</w:t>
            </w:r>
          </w:p>
        </w:tc>
        <w:tc>
          <w:tcPr>
            <w:tcW w:w="1890" w:type="dxa"/>
            <w:shd w:val="clear" w:color="auto" w:fill="auto"/>
            <w:noWrap/>
            <w:vAlign w:val="center"/>
            <w:hideMark/>
          </w:tcPr>
          <w:p w14:paraId="3C85717A" w14:textId="60B332D6" w:rsidR="003127B9" w:rsidRPr="00DB0F13" w:rsidRDefault="003127B9" w:rsidP="003127B9">
            <w:pPr>
              <w:jc w:val="center"/>
              <w:rPr>
                <w:color w:val="000000"/>
                <w:sz w:val="22"/>
              </w:rPr>
            </w:pPr>
            <w:r>
              <w:rPr>
                <w:color w:val="000000"/>
                <w:sz w:val="22"/>
              </w:rPr>
              <w:t>28,774</w:t>
            </w:r>
          </w:p>
        </w:tc>
        <w:tc>
          <w:tcPr>
            <w:tcW w:w="1890" w:type="dxa"/>
            <w:vAlign w:val="center"/>
          </w:tcPr>
          <w:p w14:paraId="2FB204DA" w14:textId="2E510251" w:rsidR="003127B9" w:rsidRDefault="003127B9" w:rsidP="003127B9">
            <w:pPr>
              <w:jc w:val="center"/>
              <w:rPr>
                <w:color w:val="000000"/>
                <w:sz w:val="22"/>
              </w:rPr>
            </w:pPr>
            <w:r>
              <w:rPr>
                <w:color w:val="000000"/>
                <w:sz w:val="22"/>
              </w:rPr>
              <w:t>8,525</w:t>
            </w:r>
          </w:p>
        </w:tc>
      </w:tr>
      <w:tr w:rsidR="003127B9" w:rsidRPr="00A60630" w14:paraId="450ABC77" w14:textId="5B70D943" w:rsidTr="00F6061D">
        <w:trPr>
          <w:trHeight w:val="288"/>
        </w:trPr>
        <w:tc>
          <w:tcPr>
            <w:tcW w:w="1890" w:type="dxa"/>
            <w:shd w:val="clear" w:color="auto" w:fill="auto"/>
            <w:noWrap/>
            <w:vAlign w:val="center"/>
            <w:hideMark/>
          </w:tcPr>
          <w:p w14:paraId="750BF3D4" w14:textId="77777777" w:rsidR="003127B9" w:rsidRPr="00DB0F13" w:rsidRDefault="003127B9" w:rsidP="003127B9">
            <w:pPr>
              <w:jc w:val="center"/>
              <w:rPr>
                <w:color w:val="000000"/>
                <w:sz w:val="22"/>
              </w:rPr>
            </w:pPr>
            <w:r w:rsidRPr="00DB0F13">
              <w:rPr>
                <w:color w:val="000000"/>
                <w:sz w:val="22"/>
              </w:rPr>
              <w:t>2015</w:t>
            </w:r>
          </w:p>
        </w:tc>
        <w:tc>
          <w:tcPr>
            <w:tcW w:w="1890" w:type="dxa"/>
            <w:shd w:val="clear" w:color="auto" w:fill="auto"/>
            <w:noWrap/>
            <w:vAlign w:val="center"/>
            <w:hideMark/>
          </w:tcPr>
          <w:p w14:paraId="6695FE21" w14:textId="3FC698A4" w:rsidR="003127B9" w:rsidRPr="00DB0F13" w:rsidRDefault="003127B9" w:rsidP="003127B9">
            <w:pPr>
              <w:jc w:val="center"/>
              <w:rPr>
                <w:color w:val="000000"/>
                <w:sz w:val="22"/>
              </w:rPr>
            </w:pPr>
            <w:r>
              <w:rPr>
                <w:color w:val="000000"/>
                <w:sz w:val="22"/>
              </w:rPr>
              <w:t>32,205</w:t>
            </w:r>
          </w:p>
        </w:tc>
        <w:tc>
          <w:tcPr>
            <w:tcW w:w="1890" w:type="dxa"/>
            <w:vAlign w:val="center"/>
          </w:tcPr>
          <w:p w14:paraId="6FB9DA88" w14:textId="21127C04" w:rsidR="003127B9" w:rsidRDefault="003127B9" w:rsidP="003127B9">
            <w:pPr>
              <w:jc w:val="center"/>
              <w:rPr>
                <w:color w:val="000000"/>
                <w:sz w:val="22"/>
              </w:rPr>
            </w:pPr>
            <w:r>
              <w:rPr>
                <w:color w:val="000000"/>
                <w:sz w:val="22"/>
              </w:rPr>
              <w:t>9,600</w:t>
            </w:r>
          </w:p>
        </w:tc>
        <w:tc>
          <w:tcPr>
            <w:tcW w:w="1890" w:type="dxa"/>
            <w:shd w:val="clear" w:color="auto" w:fill="auto"/>
            <w:noWrap/>
            <w:vAlign w:val="center"/>
            <w:hideMark/>
          </w:tcPr>
          <w:p w14:paraId="23432A68" w14:textId="303155EB" w:rsidR="003127B9" w:rsidRPr="00DB0F13" w:rsidRDefault="003127B9" w:rsidP="003127B9">
            <w:pPr>
              <w:jc w:val="center"/>
              <w:rPr>
                <w:color w:val="000000"/>
                <w:sz w:val="22"/>
              </w:rPr>
            </w:pPr>
            <w:r>
              <w:rPr>
                <w:color w:val="000000"/>
                <w:sz w:val="22"/>
              </w:rPr>
              <w:t>29,542</w:t>
            </w:r>
          </w:p>
        </w:tc>
        <w:tc>
          <w:tcPr>
            <w:tcW w:w="1890" w:type="dxa"/>
            <w:vAlign w:val="center"/>
          </w:tcPr>
          <w:p w14:paraId="134BD6C7" w14:textId="74D2A62E" w:rsidR="003127B9" w:rsidRDefault="003127B9" w:rsidP="003127B9">
            <w:pPr>
              <w:jc w:val="center"/>
              <w:rPr>
                <w:color w:val="000000"/>
                <w:sz w:val="22"/>
              </w:rPr>
            </w:pPr>
            <w:r>
              <w:rPr>
                <w:color w:val="000000"/>
                <w:sz w:val="22"/>
              </w:rPr>
              <w:t>8,806</w:t>
            </w:r>
          </w:p>
        </w:tc>
      </w:tr>
      <w:tr w:rsidR="003127B9" w:rsidRPr="00A60630" w14:paraId="7B069EA5" w14:textId="5F7B584C" w:rsidTr="00F6061D">
        <w:trPr>
          <w:trHeight w:val="288"/>
        </w:trPr>
        <w:tc>
          <w:tcPr>
            <w:tcW w:w="1890" w:type="dxa"/>
            <w:shd w:val="clear" w:color="auto" w:fill="auto"/>
            <w:noWrap/>
            <w:vAlign w:val="center"/>
            <w:hideMark/>
          </w:tcPr>
          <w:p w14:paraId="47ECF73F" w14:textId="77777777" w:rsidR="003127B9" w:rsidRPr="00DB0F13" w:rsidRDefault="003127B9" w:rsidP="003127B9">
            <w:pPr>
              <w:jc w:val="center"/>
              <w:rPr>
                <w:color w:val="000000"/>
                <w:sz w:val="22"/>
              </w:rPr>
            </w:pPr>
            <w:r w:rsidRPr="00DB0F13">
              <w:rPr>
                <w:color w:val="000000"/>
                <w:sz w:val="22"/>
              </w:rPr>
              <w:t>2016</w:t>
            </w:r>
          </w:p>
        </w:tc>
        <w:tc>
          <w:tcPr>
            <w:tcW w:w="1890" w:type="dxa"/>
            <w:shd w:val="clear" w:color="auto" w:fill="auto"/>
            <w:noWrap/>
            <w:vAlign w:val="center"/>
            <w:hideMark/>
          </w:tcPr>
          <w:p w14:paraId="68D619CE" w14:textId="29707EDF" w:rsidR="003127B9" w:rsidRPr="00DB0F13" w:rsidRDefault="003127B9" w:rsidP="003127B9">
            <w:pPr>
              <w:jc w:val="center"/>
              <w:rPr>
                <w:color w:val="000000"/>
                <w:sz w:val="22"/>
              </w:rPr>
            </w:pPr>
            <w:r>
              <w:rPr>
                <w:color w:val="000000"/>
                <w:sz w:val="22"/>
              </w:rPr>
              <w:t>32,740</w:t>
            </w:r>
          </w:p>
        </w:tc>
        <w:tc>
          <w:tcPr>
            <w:tcW w:w="1890" w:type="dxa"/>
            <w:vAlign w:val="center"/>
          </w:tcPr>
          <w:p w14:paraId="7C04E1F8" w14:textId="5D2C6511" w:rsidR="003127B9" w:rsidRDefault="003127B9" w:rsidP="003127B9">
            <w:pPr>
              <w:jc w:val="center"/>
              <w:rPr>
                <w:color w:val="000000"/>
                <w:sz w:val="22"/>
              </w:rPr>
            </w:pPr>
            <w:r>
              <w:rPr>
                <w:color w:val="000000"/>
                <w:sz w:val="22"/>
              </w:rPr>
              <w:t>4,800</w:t>
            </w:r>
          </w:p>
        </w:tc>
        <w:tc>
          <w:tcPr>
            <w:tcW w:w="1890" w:type="dxa"/>
            <w:shd w:val="clear" w:color="auto" w:fill="auto"/>
            <w:noWrap/>
            <w:vAlign w:val="center"/>
            <w:hideMark/>
          </w:tcPr>
          <w:p w14:paraId="78A8DF94" w14:textId="48017C28" w:rsidR="003127B9" w:rsidRPr="00DB0F13" w:rsidRDefault="003127B9" w:rsidP="003127B9">
            <w:pPr>
              <w:jc w:val="center"/>
              <w:rPr>
                <w:color w:val="000000"/>
                <w:sz w:val="22"/>
              </w:rPr>
            </w:pPr>
            <w:r>
              <w:rPr>
                <w:color w:val="000000"/>
                <w:sz w:val="22"/>
              </w:rPr>
              <w:t>28,160</w:t>
            </w:r>
          </w:p>
        </w:tc>
        <w:tc>
          <w:tcPr>
            <w:tcW w:w="1890" w:type="dxa"/>
            <w:vAlign w:val="center"/>
          </w:tcPr>
          <w:p w14:paraId="19F74ACE" w14:textId="503E1ADC" w:rsidR="003127B9" w:rsidRDefault="003127B9" w:rsidP="003127B9">
            <w:pPr>
              <w:jc w:val="center"/>
              <w:rPr>
                <w:color w:val="000000"/>
                <w:sz w:val="22"/>
              </w:rPr>
            </w:pPr>
            <w:r>
              <w:rPr>
                <w:color w:val="000000"/>
                <w:sz w:val="22"/>
              </w:rPr>
              <w:t>4,129</w:t>
            </w:r>
          </w:p>
        </w:tc>
      </w:tr>
      <w:tr w:rsidR="003127B9" w:rsidRPr="00A60630" w14:paraId="3AB2625A" w14:textId="3EFD8997" w:rsidTr="00F6061D">
        <w:trPr>
          <w:trHeight w:val="288"/>
        </w:trPr>
        <w:tc>
          <w:tcPr>
            <w:tcW w:w="1890" w:type="dxa"/>
            <w:shd w:val="clear" w:color="auto" w:fill="auto"/>
            <w:noWrap/>
            <w:vAlign w:val="center"/>
            <w:hideMark/>
          </w:tcPr>
          <w:p w14:paraId="48012850" w14:textId="77777777" w:rsidR="003127B9" w:rsidRPr="00DB0F13" w:rsidRDefault="003127B9" w:rsidP="003127B9">
            <w:pPr>
              <w:jc w:val="center"/>
              <w:rPr>
                <w:color w:val="000000"/>
                <w:sz w:val="22"/>
              </w:rPr>
            </w:pPr>
            <w:r w:rsidRPr="00DB0F13">
              <w:rPr>
                <w:color w:val="000000"/>
                <w:sz w:val="22"/>
              </w:rPr>
              <w:t>2017</w:t>
            </w:r>
          </w:p>
        </w:tc>
        <w:tc>
          <w:tcPr>
            <w:tcW w:w="1890" w:type="dxa"/>
            <w:shd w:val="clear" w:color="auto" w:fill="auto"/>
            <w:noWrap/>
            <w:vAlign w:val="center"/>
            <w:hideMark/>
          </w:tcPr>
          <w:p w14:paraId="6F745A8E" w14:textId="567CB3F9" w:rsidR="003127B9" w:rsidRPr="00DB0F13" w:rsidRDefault="003127B9" w:rsidP="003127B9">
            <w:pPr>
              <w:jc w:val="center"/>
              <w:rPr>
                <w:color w:val="000000"/>
                <w:sz w:val="22"/>
              </w:rPr>
            </w:pPr>
            <w:r>
              <w:rPr>
                <w:color w:val="000000"/>
                <w:sz w:val="22"/>
              </w:rPr>
              <w:t>32,750</w:t>
            </w:r>
          </w:p>
        </w:tc>
        <w:tc>
          <w:tcPr>
            <w:tcW w:w="1890" w:type="dxa"/>
            <w:vAlign w:val="center"/>
          </w:tcPr>
          <w:p w14:paraId="4759C21D" w14:textId="0B2E1F2F" w:rsidR="003127B9" w:rsidRDefault="003127B9" w:rsidP="003127B9">
            <w:pPr>
              <w:jc w:val="center"/>
              <w:rPr>
                <w:color w:val="000000"/>
                <w:sz w:val="22"/>
              </w:rPr>
            </w:pPr>
            <w:r>
              <w:rPr>
                <w:color w:val="000000"/>
                <w:sz w:val="22"/>
              </w:rPr>
              <w:t>9,600</w:t>
            </w:r>
          </w:p>
        </w:tc>
        <w:tc>
          <w:tcPr>
            <w:tcW w:w="1890" w:type="dxa"/>
            <w:shd w:val="clear" w:color="auto" w:fill="auto"/>
            <w:noWrap/>
            <w:vAlign w:val="center"/>
            <w:hideMark/>
          </w:tcPr>
          <w:p w14:paraId="5DC2DD17" w14:textId="625DE652" w:rsidR="003127B9" w:rsidRPr="00DB0F13" w:rsidRDefault="003127B9" w:rsidP="003127B9">
            <w:pPr>
              <w:jc w:val="center"/>
              <w:rPr>
                <w:color w:val="000000"/>
                <w:sz w:val="22"/>
              </w:rPr>
            </w:pPr>
            <w:r>
              <w:rPr>
                <w:color w:val="000000"/>
                <w:sz w:val="22"/>
              </w:rPr>
              <w:t>28,505</w:t>
            </w:r>
          </w:p>
        </w:tc>
        <w:tc>
          <w:tcPr>
            <w:tcW w:w="1890" w:type="dxa"/>
            <w:vAlign w:val="center"/>
          </w:tcPr>
          <w:p w14:paraId="1F944E02" w14:textId="79995657" w:rsidR="003127B9" w:rsidRDefault="003127B9" w:rsidP="003127B9">
            <w:pPr>
              <w:jc w:val="center"/>
              <w:rPr>
                <w:color w:val="000000"/>
                <w:sz w:val="22"/>
              </w:rPr>
            </w:pPr>
            <w:r>
              <w:rPr>
                <w:color w:val="000000"/>
                <w:sz w:val="22"/>
              </w:rPr>
              <w:t>8,356</w:t>
            </w:r>
          </w:p>
        </w:tc>
      </w:tr>
      <w:tr w:rsidR="003127B9" w:rsidRPr="00A60630" w14:paraId="2D43C4CB" w14:textId="178168A3" w:rsidTr="00F6061D">
        <w:trPr>
          <w:trHeight w:val="288"/>
        </w:trPr>
        <w:tc>
          <w:tcPr>
            <w:tcW w:w="1890" w:type="dxa"/>
            <w:shd w:val="clear" w:color="auto" w:fill="auto"/>
            <w:noWrap/>
            <w:vAlign w:val="center"/>
          </w:tcPr>
          <w:p w14:paraId="3C6C2475" w14:textId="4487B33C" w:rsidR="003127B9" w:rsidRPr="00DB0F13" w:rsidRDefault="003127B9" w:rsidP="003127B9">
            <w:pPr>
              <w:jc w:val="center"/>
              <w:rPr>
                <w:color w:val="000000"/>
                <w:sz w:val="22"/>
              </w:rPr>
            </w:pPr>
            <w:r w:rsidRPr="00DB0F13">
              <w:rPr>
                <w:color w:val="000000"/>
                <w:sz w:val="22"/>
              </w:rPr>
              <w:t>2018</w:t>
            </w:r>
          </w:p>
        </w:tc>
        <w:tc>
          <w:tcPr>
            <w:tcW w:w="1890" w:type="dxa"/>
            <w:shd w:val="clear" w:color="auto" w:fill="auto"/>
            <w:noWrap/>
            <w:vAlign w:val="center"/>
          </w:tcPr>
          <w:p w14:paraId="1BBF681C" w14:textId="5E9595D6" w:rsidR="003127B9" w:rsidRPr="00DB0F13" w:rsidRDefault="003127B9" w:rsidP="003127B9">
            <w:pPr>
              <w:jc w:val="center"/>
              <w:rPr>
                <w:color w:val="000000"/>
                <w:sz w:val="22"/>
              </w:rPr>
            </w:pPr>
            <w:r>
              <w:rPr>
                <w:color w:val="000000"/>
                <w:sz w:val="22"/>
              </w:rPr>
              <w:t>20,469</w:t>
            </w:r>
          </w:p>
        </w:tc>
        <w:tc>
          <w:tcPr>
            <w:tcW w:w="1890" w:type="dxa"/>
            <w:vAlign w:val="center"/>
          </w:tcPr>
          <w:p w14:paraId="0406E13C" w14:textId="036F1808" w:rsidR="003127B9" w:rsidRDefault="003127B9" w:rsidP="003127B9">
            <w:pPr>
              <w:jc w:val="center"/>
              <w:rPr>
                <w:color w:val="000000"/>
                <w:sz w:val="22"/>
              </w:rPr>
            </w:pPr>
            <w:r>
              <w:rPr>
                <w:color w:val="000000"/>
                <w:sz w:val="22"/>
              </w:rPr>
              <w:t>8,100</w:t>
            </w:r>
          </w:p>
        </w:tc>
        <w:tc>
          <w:tcPr>
            <w:tcW w:w="1890" w:type="dxa"/>
            <w:shd w:val="clear" w:color="auto" w:fill="auto"/>
            <w:noWrap/>
            <w:vAlign w:val="center"/>
          </w:tcPr>
          <w:p w14:paraId="1909B837" w14:textId="5978A2B5" w:rsidR="003127B9" w:rsidRPr="00DB0F13" w:rsidRDefault="003127B9" w:rsidP="003127B9">
            <w:pPr>
              <w:jc w:val="center"/>
              <w:rPr>
                <w:color w:val="000000"/>
                <w:sz w:val="22"/>
              </w:rPr>
            </w:pPr>
            <w:r>
              <w:rPr>
                <w:color w:val="000000"/>
                <w:sz w:val="22"/>
              </w:rPr>
              <w:t>15,537</w:t>
            </w:r>
          </w:p>
        </w:tc>
        <w:tc>
          <w:tcPr>
            <w:tcW w:w="1890" w:type="dxa"/>
            <w:vAlign w:val="center"/>
          </w:tcPr>
          <w:p w14:paraId="5A97FABF" w14:textId="0A924171" w:rsidR="003127B9" w:rsidRDefault="003127B9" w:rsidP="003127B9">
            <w:pPr>
              <w:jc w:val="center"/>
              <w:rPr>
                <w:color w:val="000000"/>
                <w:sz w:val="22"/>
              </w:rPr>
            </w:pPr>
            <w:r>
              <w:rPr>
                <w:color w:val="000000"/>
                <w:sz w:val="22"/>
              </w:rPr>
              <w:t>6,148</w:t>
            </w:r>
          </w:p>
        </w:tc>
      </w:tr>
      <w:tr w:rsidR="003127B9" w:rsidRPr="00A60630" w14:paraId="047F3314" w14:textId="137B60CF" w:rsidTr="00F6061D">
        <w:trPr>
          <w:trHeight w:val="288"/>
        </w:trPr>
        <w:tc>
          <w:tcPr>
            <w:tcW w:w="1890" w:type="dxa"/>
            <w:shd w:val="clear" w:color="auto" w:fill="auto"/>
            <w:noWrap/>
            <w:vAlign w:val="center"/>
          </w:tcPr>
          <w:p w14:paraId="0A161C01" w14:textId="160035C8" w:rsidR="003127B9" w:rsidRPr="00DB0F13" w:rsidRDefault="003127B9" w:rsidP="003127B9">
            <w:pPr>
              <w:jc w:val="center"/>
              <w:rPr>
                <w:color w:val="000000"/>
                <w:sz w:val="22"/>
              </w:rPr>
            </w:pPr>
            <w:r>
              <w:rPr>
                <w:color w:val="000000"/>
                <w:sz w:val="22"/>
              </w:rPr>
              <w:t>2019</w:t>
            </w:r>
          </w:p>
        </w:tc>
        <w:tc>
          <w:tcPr>
            <w:tcW w:w="1890" w:type="dxa"/>
            <w:shd w:val="clear" w:color="auto" w:fill="auto"/>
            <w:noWrap/>
            <w:vAlign w:val="center"/>
          </w:tcPr>
          <w:p w14:paraId="0D3D004D" w14:textId="5E3AA6A0" w:rsidR="003127B9" w:rsidRPr="00DB0F13" w:rsidRDefault="003127B9" w:rsidP="003127B9">
            <w:pPr>
              <w:jc w:val="center"/>
              <w:rPr>
                <w:sz w:val="22"/>
              </w:rPr>
            </w:pPr>
            <w:r>
              <w:rPr>
                <w:color w:val="000000"/>
                <w:sz w:val="22"/>
              </w:rPr>
              <w:t>33,222</w:t>
            </w:r>
          </w:p>
        </w:tc>
        <w:tc>
          <w:tcPr>
            <w:tcW w:w="1890" w:type="dxa"/>
            <w:vAlign w:val="center"/>
          </w:tcPr>
          <w:p w14:paraId="45DF2F51" w14:textId="57F9A918" w:rsidR="003127B9" w:rsidRDefault="003127B9" w:rsidP="003127B9">
            <w:pPr>
              <w:jc w:val="center"/>
              <w:rPr>
                <w:color w:val="000000"/>
                <w:sz w:val="22"/>
              </w:rPr>
            </w:pPr>
            <w:r>
              <w:rPr>
                <w:color w:val="000000"/>
                <w:sz w:val="22"/>
              </w:rPr>
              <w:t>4,800</w:t>
            </w:r>
          </w:p>
        </w:tc>
        <w:tc>
          <w:tcPr>
            <w:tcW w:w="1890" w:type="dxa"/>
            <w:shd w:val="clear" w:color="auto" w:fill="auto"/>
            <w:noWrap/>
            <w:vAlign w:val="center"/>
          </w:tcPr>
          <w:p w14:paraId="78413B57" w14:textId="16FB685B" w:rsidR="003127B9" w:rsidRPr="00DB0F13" w:rsidRDefault="003127B9" w:rsidP="003127B9">
            <w:pPr>
              <w:jc w:val="center"/>
              <w:rPr>
                <w:sz w:val="22"/>
              </w:rPr>
            </w:pPr>
            <w:r>
              <w:rPr>
                <w:color w:val="000000"/>
                <w:sz w:val="22"/>
              </w:rPr>
              <w:t>30,270</w:t>
            </w:r>
          </w:p>
        </w:tc>
        <w:tc>
          <w:tcPr>
            <w:tcW w:w="1890" w:type="dxa"/>
            <w:vAlign w:val="center"/>
          </w:tcPr>
          <w:p w14:paraId="7F3D9C7E" w14:textId="27E54D04" w:rsidR="003127B9" w:rsidRDefault="003127B9" w:rsidP="003127B9">
            <w:pPr>
              <w:jc w:val="center"/>
              <w:rPr>
                <w:color w:val="000000"/>
                <w:sz w:val="22"/>
              </w:rPr>
            </w:pPr>
            <w:r>
              <w:rPr>
                <w:color w:val="000000"/>
                <w:sz w:val="22"/>
              </w:rPr>
              <w:t>4,373</w:t>
            </w:r>
          </w:p>
        </w:tc>
      </w:tr>
      <w:tr w:rsidR="003127B9" w:rsidRPr="00A60630" w14:paraId="6E036FCF" w14:textId="79A98FEC" w:rsidTr="00F6061D">
        <w:trPr>
          <w:trHeight w:val="288"/>
        </w:trPr>
        <w:tc>
          <w:tcPr>
            <w:tcW w:w="1890" w:type="dxa"/>
            <w:shd w:val="clear" w:color="auto" w:fill="auto"/>
            <w:noWrap/>
            <w:vAlign w:val="center"/>
          </w:tcPr>
          <w:p w14:paraId="1D73A2C2" w14:textId="3CD37B12" w:rsidR="003127B9" w:rsidRPr="00DB0F13" w:rsidRDefault="003127B9" w:rsidP="003127B9">
            <w:pPr>
              <w:jc w:val="center"/>
              <w:rPr>
                <w:color w:val="000000"/>
                <w:sz w:val="22"/>
              </w:rPr>
            </w:pPr>
            <w:r>
              <w:rPr>
                <w:color w:val="000000"/>
                <w:sz w:val="22"/>
              </w:rPr>
              <w:t>2020</w:t>
            </w:r>
          </w:p>
        </w:tc>
        <w:tc>
          <w:tcPr>
            <w:tcW w:w="1890" w:type="dxa"/>
            <w:shd w:val="clear" w:color="auto" w:fill="auto"/>
            <w:noWrap/>
            <w:vAlign w:val="center"/>
          </w:tcPr>
          <w:p w14:paraId="7837B71A" w14:textId="36601347" w:rsidR="003127B9" w:rsidRPr="00DB0F13" w:rsidRDefault="003127B9" w:rsidP="003127B9">
            <w:pPr>
              <w:jc w:val="center"/>
              <w:rPr>
                <w:sz w:val="22"/>
              </w:rPr>
            </w:pPr>
            <w:r>
              <w:rPr>
                <w:color w:val="000000"/>
                <w:sz w:val="22"/>
              </w:rPr>
              <w:t>31,985</w:t>
            </w:r>
          </w:p>
        </w:tc>
        <w:tc>
          <w:tcPr>
            <w:tcW w:w="1890" w:type="dxa"/>
            <w:vAlign w:val="center"/>
          </w:tcPr>
          <w:p w14:paraId="5E6252F2" w14:textId="1FD8F4C8" w:rsidR="003127B9" w:rsidRDefault="003127B9" w:rsidP="003127B9">
            <w:pPr>
              <w:jc w:val="center"/>
              <w:rPr>
                <w:color w:val="000000"/>
                <w:sz w:val="22"/>
              </w:rPr>
            </w:pPr>
            <w:r>
              <w:rPr>
                <w:color w:val="000000"/>
                <w:sz w:val="22"/>
              </w:rPr>
              <w:t>9,600</w:t>
            </w:r>
          </w:p>
        </w:tc>
        <w:tc>
          <w:tcPr>
            <w:tcW w:w="1890" w:type="dxa"/>
            <w:shd w:val="clear" w:color="auto" w:fill="auto"/>
            <w:noWrap/>
            <w:vAlign w:val="center"/>
          </w:tcPr>
          <w:p w14:paraId="0C785D5B" w14:textId="1E27227A" w:rsidR="003127B9" w:rsidRPr="00DB0F13" w:rsidRDefault="003127B9" w:rsidP="003127B9">
            <w:pPr>
              <w:jc w:val="center"/>
              <w:rPr>
                <w:sz w:val="22"/>
              </w:rPr>
            </w:pPr>
            <w:r>
              <w:rPr>
                <w:color w:val="000000"/>
                <w:sz w:val="22"/>
              </w:rPr>
              <w:t>27,168</w:t>
            </w:r>
          </w:p>
        </w:tc>
        <w:tc>
          <w:tcPr>
            <w:tcW w:w="1890" w:type="dxa"/>
            <w:vAlign w:val="center"/>
          </w:tcPr>
          <w:p w14:paraId="79033E34" w14:textId="22C85870" w:rsidR="003127B9" w:rsidRDefault="003127B9" w:rsidP="003127B9">
            <w:pPr>
              <w:jc w:val="center"/>
              <w:rPr>
                <w:color w:val="000000"/>
                <w:sz w:val="22"/>
              </w:rPr>
            </w:pPr>
            <w:r>
              <w:rPr>
                <w:color w:val="000000"/>
                <w:sz w:val="22"/>
              </w:rPr>
              <w:t>8,154</w:t>
            </w:r>
          </w:p>
        </w:tc>
      </w:tr>
      <w:tr w:rsidR="003127B9" w:rsidRPr="00A60630" w14:paraId="28904B6E" w14:textId="0C763945" w:rsidTr="00F6061D">
        <w:trPr>
          <w:trHeight w:val="288"/>
        </w:trPr>
        <w:tc>
          <w:tcPr>
            <w:tcW w:w="1890" w:type="dxa"/>
            <w:shd w:val="clear" w:color="auto" w:fill="BFBFBF" w:themeFill="background1" w:themeFillShade="BF"/>
            <w:noWrap/>
            <w:vAlign w:val="center"/>
            <w:hideMark/>
          </w:tcPr>
          <w:p w14:paraId="6873EEE2" w14:textId="77777777" w:rsidR="003127B9" w:rsidRPr="00DB0F13" w:rsidRDefault="003127B9" w:rsidP="003127B9">
            <w:pPr>
              <w:jc w:val="center"/>
              <w:rPr>
                <w:b/>
                <w:bCs/>
                <w:color w:val="000000"/>
                <w:sz w:val="22"/>
              </w:rPr>
            </w:pPr>
            <w:r w:rsidRPr="00DB0F13">
              <w:rPr>
                <w:b/>
                <w:bCs/>
                <w:color w:val="000000"/>
                <w:sz w:val="22"/>
              </w:rPr>
              <w:t>Total</w:t>
            </w:r>
          </w:p>
        </w:tc>
        <w:tc>
          <w:tcPr>
            <w:tcW w:w="1890" w:type="dxa"/>
            <w:shd w:val="clear" w:color="auto" w:fill="BFBFBF" w:themeFill="background1" w:themeFillShade="BF"/>
            <w:noWrap/>
            <w:vAlign w:val="center"/>
            <w:hideMark/>
          </w:tcPr>
          <w:p w14:paraId="42A04C49" w14:textId="73A44EF5" w:rsidR="003127B9" w:rsidRPr="00DB0F13" w:rsidRDefault="003127B9" w:rsidP="003127B9">
            <w:pPr>
              <w:jc w:val="center"/>
              <w:rPr>
                <w:b/>
                <w:bCs/>
                <w:color w:val="000000"/>
                <w:sz w:val="22"/>
              </w:rPr>
            </w:pPr>
            <w:r>
              <w:rPr>
                <w:b/>
                <w:bCs/>
                <w:color w:val="000000"/>
                <w:sz w:val="22"/>
              </w:rPr>
              <w:t>251,835</w:t>
            </w:r>
          </w:p>
        </w:tc>
        <w:tc>
          <w:tcPr>
            <w:tcW w:w="1890" w:type="dxa"/>
            <w:shd w:val="clear" w:color="auto" w:fill="BFBFBF" w:themeFill="background1" w:themeFillShade="BF"/>
            <w:vAlign w:val="center"/>
          </w:tcPr>
          <w:p w14:paraId="2B21CE34" w14:textId="6133682F" w:rsidR="003127B9" w:rsidRDefault="003127B9" w:rsidP="003127B9">
            <w:pPr>
              <w:jc w:val="center"/>
              <w:rPr>
                <w:b/>
                <w:bCs/>
                <w:color w:val="000000"/>
                <w:sz w:val="22"/>
              </w:rPr>
            </w:pPr>
            <w:r>
              <w:rPr>
                <w:b/>
                <w:bCs/>
                <w:color w:val="000000"/>
                <w:sz w:val="22"/>
              </w:rPr>
              <w:t>65,700</w:t>
            </w:r>
          </w:p>
        </w:tc>
        <w:tc>
          <w:tcPr>
            <w:tcW w:w="1890" w:type="dxa"/>
            <w:shd w:val="clear" w:color="auto" w:fill="BFBFBF" w:themeFill="background1" w:themeFillShade="BF"/>
            <w:noWrap/>
            <w:vAlign w:val="center"/>
            <w:hideMark/>
          </w:tcPr>
          <w:p w14:paraId="1A9B73D9" w14:textId="7D1509B1" w:rsidR="003127B9" w:rsidRPr="00DB0F13" w:rsidRDefault="003127B9" w:rsidP="003127B9">
            <w:pPr>
              <w:jc w:val="center"/>
              <w:rPr>
                <w:b/>
                <w:bCs/>
                <w:color w:val="000000"/>
                <w:sz w:val="22"/>
              </w:rPr>
            </w:pPr>
            <w:r>
              <w:rPr>
                <w:b/>
                <w:bCs/>
                <w:color w:val="000000"/>
                <w:sz w:val="22"/>
              </w:rPr>
              <w:t>220,779</w:t>
            </w:r>
          </w:p>
        </w:tc>
        <w:tc>
          <w:tcPr>
            <w:tcW w:w="1890" w:type="dxa"/>
            <w:shd w:val="clear" w:color="auto" w:fill="BFBFBF" w:themeFill="background1" w:themeFillShade="BF"/>
            <w:vAlign w:val="center"/>
          </w:tcPr>
          <w:p w14:paraId="2E7FC098" w14:textId="7AF58D30" w:rsidR="003127B9" w:rsidRDefault="003127B9" w:rsidP="003127B9">
            <w:pPr>
              <w:jc w:val="center"/>
              <w:rPr>
                <w:b/>
                <w:bCs/>
                <w:color w:val="000000"/>
                <w:sz w:val="22"/>
              </w:rPr>
            </w:pPr>
            <w:r>
              <w:rPr>
                <w:b/>
                <w:bCs/>
                <w:color w:val="000000"/>
                <w:sz w:val="22"/>
              </w:rPr>
              <w:t>57,228</w:t>
            </w:r>
          </w:p>
        </w:tc>
      </w:tr>
      <w:tr w:rsidR="003127B9" w:rsidRPr="00A60630" w14:paraId="2E4B8D30" w14:textId="760C475B" w:rsidTr="00F6061D">
        <w:trPr>
          <w:trHeight w:val="288"/>
        </w:trPr>
        <w:tc>
          <w:tcPr>
            <w:tcW w:w="1890" w:type="dxa"/>
            <w:shd w:val="clear" w:color="auto" w:fill="BFBFBF" w:themeFill="background1" w:themeFillShade="BF"/>
            <w:noWrap/>
            <w:vAlign w:val="center"/>
            <w:hideMark/>
          </w:tcPr>
          <w:p w14:paraId="42AA7FE5" w14:textId="77777777" w:rsidR="003127B9" w:rsidRPr="00DB0F13" w:rsidRDefault="003127B9" w:rsidP="003127B9">
            <w:pPr>
              <w:jc w:val="center"/>
              <w:rPr>
                <w:b/>
                <w:bCs/>
                <w:color w:val="000000"/>
                <w:sz w:val="22"/>
              </w:rPr>
            </w:pPr>
            <w:r w:rsidRPr="00DB0F13">
              <w:rPr>
                <w:b/>
                <w:bCs/>
                <w:color w:val="000000"/>
                <w:sz w:val="22"/>
              </w:rPr>
              <w:t>Average</w:t>
            </w:r>
          </w:p>
        </w:tc>
        <w:tc>
          <w:tcPr>
            <w:tcW w:w="1890" w:type="dxa"/>
            <w:shd w:val="clear" w:color="auto" w:fill="BFBFBF" w:themeFill="background1" w:themeFillShade="BF"/>
            <w:noWrap/>
            <w:vAlign w:val="center"/>
            <w:hideMark/>
          </w:tcPr>
          <w:p w14:paraId="21F9523B" w14:textId="3AD051F2" w:rsidR="003127B9" w:rsidRPr="00DB0F13" w:rsidRDefault="003127B9" w:rsidP="003127B9">
            <w:pPr>
              <w:jc w:val="center"/>
              <w:rPr>
                <w:b/>
                <w:bCs/>
                <w:color w:val="000000"/>
                <w:sz w:val="22"/>
              </w:rPr>
            </w:pPr>
            <w:r>
              <w:rPr>
                <w:b/>
                <w:bCs/>
                <w:color w:val="000000"/>
                <w:sz w:val="22"/>
              </w:rPr>
              <w:t>27,982</w:t>
            </w:r>
          </w:p>
        </w:tc>
        <w:tc>
          <w:tcPr>
            <w:tcW w:w="1890" w:type="dxa"/>
            <w:shd w:val="clear" w:color="auto" w:fill="BFBFBF" w:themeFill="background1" w:themeFillShade="BF"/>
            <w:vAlign w:val="center"/>
          </w:tcPr>
          <w:p w14:paraId="02C45619" w14:textId="0C30B083" w:rsidR="003127B9" w:rsidRDefault="003127B9" w:rsidP="003127B9">
            <w:pPr>
              <w:jc w:val="center"/>
              <w:rPr>
                <w:b/>
                <w:bCs/>
                <w:color w:val="000000"/>
                <w:sz w:val="22"/>
              </w:rPr>
            </w:pPr>
            <w:r>
              <w:rPr>
                <w:b/>
                <w:bCs/>
                <w:color w:val="000000"/>
                <w:sz w:val="22"/>
              </w:rPr>
              <w:t>7,300</w:t>
            </w:r>
          </w:p>
        </w:tc>
        <w:tc>
          <w:tcPr>
            <w:tcW w:w="1890" w:type="dxa"/>
            <w:shd w:val="clear" w:color="auto" w:fill="BFBFBF" w:themeFill="background1" w:themeFillShade="BF"/>
            <w:noWrap/>
            <w:vAlign w:val="center"/>
            <w:hideMark/>
          </w:tcPr>
          <w:p w14:paraId="74D45355" w14:textId="4AF060F4" w:rsidR="003127B9" w:rsidRPr="00DB0F13" w:rsidRDefault="003127B9" w:rsidP="003127B9">
            <w:pPr>
              <w:jc w:val="center"/>
              <w:rPr>
                <w:b/>
                <w:bCs/>
                <w:color w:val="000000"/>
                <w:sz w:val="22"/>
              </w:rPr>
            </w:pPr>
            <w:r>
              <w:rPr>
                <w:b/>
                <w:bCs/>
                <w:color w:val="000000"/>
                <w:sz w:val="22"/>
              </w:rPr>
              <w:t>24,531</w:t>
            </w:r>
          </w:p>
        </w:tc>
        <w:tc>
          <w:tcPr>
            <w:tcW w:w="1890" w:type="dxa"/>
            <w:shd w:val="clear" w:color="auto" w:fill="BFBFBF" w:themeFill="background1" w:themeFillShade="BF"/>
            <w:vAlign w:val="center"/>
          </w:tcPr>
          <w:p w14:paraId="501A5A7B" w14:textId="393655BC" w:rsidR="003127B9" w:rsidRDefault="003127B9" w:rsidP="003127B9">
            <w:pPr>
              <w:jc w:val="center"/>
              <w:rPr>
                <w:b/>
                <w:bCs/>
                <w:color w:val="000000"/>
                <w:sz w:val="22"/>
              </w:rPr>
            </w:pPr>
            <w:r>
              <w:rPr>
                <w:b/>
                <w:bCs/>
                <w:color w:val="000000"/>
                <w:sz w:val="22"/>
              </w:rPr>
              <w:t>6,359</w:t>
            </w:r>
          </w:p>
        </w:tc>
      </w:tr>
    </w:tbl>
    <w:p w14:paraId="33679368" w14:textId="666B4532" w:rsidR="00F36C4E" w:rsidRDefault="00F36C4E" w:rsidP="00F36C4E">
      <w:pPr>
        <w:pStyle w:val="ListParagraph"/>
        <w:numPr>
          <w:ilvl w:val="0"/>
          <w:numId w:val="3"/>
        </w:numPr>
        <w:spacing w:before="240" w:after="240"/>
        <w:ind w:left="360"/>
        <w:rPr>
          <w:b/>
        </w:rPr>
      </w:pPr>
      <w:r>
        <w:rPr>
          <w:b/>
        </w:rPr>
        <w:lastRenderedPageBreak/>
        <w:t>No-Cost NCW</w:t>
      </w:r>
    </w:p>
    <w:p w14:paraId="278EC7CA" w14:textId="1C5B849F" w:rsidR="00F36C4E" w:rsidRDefault="00F36C4E" w:rsidP="00F36C4E">
      <w:pPr>
        <w:pStyle w:val="ListParagraph"/>
        <w:ind w:left="0"/>
        <w:rPr>
          <w:szCs w:val="24"/>
        </w:rPr>
      </w:pPr>
      <w:r w:rsidRPr="00C54014">
        <w:rPr>
          <w:szCs w:val="24"/>
        </w:rPr>
        <w:t>Net Controllable Conserved Water (NCCW) in Lake McConaughy was made available through the implementation of conservation projects in compliance with a 1992 settlement agreement between the CNPPID and the National Wildlife Federation.  The project concept was defined in the 1997 Cooperative Agreement</w:t>
      </w:r>
      <w:r>
        <w:rPr>
          <w:szCs w:val="24"/>
        </w:rPr>
        <w:t>,</w:t>
      </w:r>
      <w:r w:rsidRPr="00C54014">
        <w:rPr>
          <w:szCs w:val="24"/>
        </w:rPr>
        <w:t xml:space="preserve"> and a portion of the NCCW yield made available through USBR funding was recognized as a </w:t>
      </w:r>
      <w:r>
        <w:rPr>
          <w:szCs w:val="24"/>
        </w:rPr>
        <w:t>WAP</w:t>
      </w:r>
      <w:r w:rsidRPr="00C54014">
        <w:rPr>
          <w:szCs w:val="24"/>
        </w:rPr>
        <w:t xml:space="preserve"> project with the inception of the Program in 2007.  </w:t>
      </w:r>
    </w:p>
    <w:p w14:paraId="02E201B1" w14:textId="77777777" w:rsidR="00F36C4E" w:rsidRDefault="00F36C4E" w:rsidP="004E0658">
      <w:pPr>
        <w:pStyle w:val="ListParagraph"/>
        <w:ind w:left="0"/>
        <w:rPr>
          <w:szCs w:val="24"/>
        </w:rPr>
      </w:pPr>
    </w:p>
    <w:p w14:paraId="70020DF9" w14:textId="5407F7DA" w:rsidR="00C54014" w:rsidRPr="008F1230" w:rsidRDefault="00C54014" w:rsidP="008F1230">
      <w:pPr>
        <w:rPr>
          <w:szCs w:val="24"/>
        </w:rPr>
      </w:pPr>
      <w:r w:rsidRPr="008F1230">
        <w:rPr>
          <w:szCs w:val="24"/>
        </w:rPr>
        <w:t xml:space="preserve">The NCCW resulted from the following conservation measures implemented </w:t>
      </w:r>
      <w:r w:rsidR="002D656C">
        <w:rPr>
          <w:szCs w:val="24"/>
        </w:rPr>
        <w:t>with</w:t>
      </w:r>
      <w:r w:rsidRPr="008F1230">
        <w:rPr>
          <w:szCs w:val="24"/>
        </w:rPr>
        <w:t>in the CNPPID</w:t>
      </w:r>
      <w:r w:rsidR="002D656C">
        <w:rPr>
          <w:szCs w:val="24"/>
        </w:rPr>
        <w:t xml:space="preserve"> irrigation</w:t>
      </w:r>
      <w:r w:rsidRPr="008F1230">
        <w:rPr>
          <w:szCs w:val="24"/>
        </w:rPr>
        <w:t xml:space="preserve"> system</w:t>
      </w:r>
      <w:r w:rsidR="002D656C">
        <w:rPr>
          <w:szCs w:val="24"/>
        </w:rPr>
        <w:t>s</w:t>
      </w:r>
      <w:r w:rsidRPr="008F1230">
        <w:rPr>
          <w:szCs w:val="24"/>
        </w:rPr>
        <w:t xml:space="preserve">: </w:t>
      </w:r>
    </w:p>
    <w:p w14:paraId="19DEED6A" w14:textId="77777777" w:rsidR="00C54014" w:rsidRPr="00C54014" w:rsidRDefault="00C54014" w:rsidP="00C54014">
      <w:pPr>
        <w:pStyle w:val="ListParagraph"/>
        <w:rPr>
          <w:szCs w:val="24"/>
        </w:rPr>
      </w:pPr>
    </w:p>
    <w:p w14:paraId="1846BAFA" w14:textId="61D76098" w:rsidR="00C54014" w:rsidRPr="002D656C" w:rsidRDefault="00C54014" w:rsidP="002D656C">
      <w:pPr>
        <w:pStyle w:val="ListParagraph"/>
        <w:numPr>
          <w:ilvl w:val="0"/>
          <w:numId w:val="9"/>
        </w:numPr>
        <w:rPr>
          <w:szCs w:val="24"/>
        </w:rPr>
      </w:pPr>
      <w:r w:rsidRPr="002D656C">
        <w:rPr>
          <w:szCs w:val="24"/>
        </w:rPr>
        <w:t xml:space="preserve">Canal distribution and delivery improvements such as installation of pipelines, canal compaction, canal lining, structure automation, etc.  </w:t>
      </w:r>
    </w:p>
    <w:p w14:paraId="6C7FB686" w14:textId="019F71EA" w:rsidR="00C54014" w:rsidRPr="002D656C" w:rsidRDefault="00C54014" w:rsidP="002D656C">
      <w:pPr>
        <w:pStyle w:val="ListParagraph"/>
        <w:numPr>
          <w:ilvl w:val="0"/>
          <w:numId w:val="9"/>
        </w:numPr>
        <w:rPr>
          <w:szCs w:val="24"/>
        </w:rPr>
      </w:pPr>
      <w:r w:rsidRPr="002D656C">
        <w:rPr>
          <w:szCs w:val="24"/>
        </w:rPr>
        <w:t xml:space="preserve">On-farm efficiency improvements including installation of center pivots and flow meters, modification of irrigation schedules, etc. </w:t>
      </w:r>
    </w:p>
    <w:p w14:paraId="6B7EFB6C" w14:textId="4C116A71" w:rsidR="00C54014" w:rsidRDefault="00C54014" w:rsidP="002D656C">
      <w:pPr>
        <w:pStyle w:val="ListParagraph"/>
        <w:numPr>
          <w:ilvl w:val="0"/>
          <w:numId w:val="9"/>
        </w:numPr>
        <w:rPr>
          <w:szCs w:val="24"/>
        </w:rPr>
      </w:pPr>
      <w:r w:rsidRPr="00C54014">
        <w:rPr>
          <w:szCs w:val="24"/>
        </w:rPr>
        <w:t xml:space="preserve">Operational adjustments to Elwood Reservoir to minimize seepage losses.  </w:t>
      </w:r>
    </w:p>
    <w:p w14:paraId="047A096C" w14:textId="58C81F18" w:rsidR="00C54014" w:rsidRDefault="00C54014" w:rsidP="00C54014">
      <w:pPr>
        <w:pStyle w:val="ListParagraph"/>
        <w:ind w:left="0"/>
        <w:rPr>
          <w:szCs w:val="24"/>
        </w:rPr>
      </w:pPr>
    </w:p>
    <w:p w14:paraId="32D7DD88" w14:textId="77777777" w:rsidR="001B7F6C" w:rsidRDefault="00C54014" w:rsidP="001B7F6C">
      <w:pPr>
        <w:pStyle w:val="ListParagraph"/>
        <w:ind w:left="0"/>
        <w:rPr>
          <w:szCs w:val="24"/>
        </w:rPr>
      </w:pPr>
      <w:r w:rsidRPr="00C54014">
        <w:rPr>
          <w:szCs w:val="24"/>
        </w:rPr>
        <w:t>These measures reduced irrigation water demands downstream of Lake McConaughy.  As a result, water that would have been released from Lake McConaughy</w:t>
      </w:r>
      <w:r>
        <w:rPr>
          <w:szCs w:val="24"/>
        </w:rPr>
        <w:t xml:space="preserve"> </w:t>
      </w:r>
      <w:r w:rsidRPr="00C54014">
        <w:rPr>
          <w:szCs w:val="24"/>
        </w:rPr>
        <w:t xml:space="preserve">before the conservation measures now remains stored in the reservoir.  </w:t>
      </w:r>
    </w:p>
    <w:p w14:paraId="10AD20C7" w14:textId="77777777" w:rsidR="001B7F6C" w:rsidRDefault="001B7F6C" w:rsidP="001B7F6C">
      <w:pPr>
        <w:pStyle w:val="ListParagraph"/>
        <w:ind w:left="0"/>
        <w:rPr>
          <w:szCs w:val="24"/>
        </w:rPr>
      </w:pPr>
    </w:p>
    <w:p w14:paraId="32578936" w14:textId="21E6ABE2" w:rsidR="00E72742" w:rsidRDefault="001B7F6C" w:rsidP="008130A9">
      <w:pPr>
        <w:pStyle w:val="ListParagraph"/>
        <w:ind w:left="0"/>
        <w:rPr>
          <w:b/>
          <w:sz w:val="22"/>
        </w:rPr>
      </w:pPr>
      <w:r w:rsidRPr="00C54014">
        <w:rPr>
          <w:szCs w:val="24"/>
        </w:rPr>
        <w:t>Per Article 402 of the CNPPID’s 1998 FERC license for the Kingsley Dam Project, the volume of NCCW water resulting from conservation projects partially funded by the USBR</w:t>
      </w:r>
      <w:r>
        <w:rPr>
          <w:szCs w:val="24"/>
        </w:rPr>
        <w:t xml:space="preserve"> is </w:t>
      </w:r>
      <w:r w:rsidRPr="00C54014">
        <w:rPr>
          <w:szCs w:val="24"/>
        </w:rPr>
        <w:t>to be added to the Lake McConaughy EA each year at no cost to the Program.</w:t>
      </w:r>
      <w:r>
        <w:rPr>
          <w:szCs w:val="24"/>
        </w:rPr>
        <w:t xml:space="preserve">  This volume was consistently found to be 314 AF in successive reviews over a period of 15 years.  </w:t>
      </w:r>
      <w:r w:rsidR="00C54014" w:rsidRPr="00C54014">
        <w:rPr>
          <w:szCs w:val="24"/>
        </w:rPr>
        <w:t xml:space="preserve">Each year, the CNPPID makes a request to the </w:t>
      </w:r>
      <w:r w:rsidR="002D656C">
        <w:rPr>
          <w:szCs w:val="24"/>
        </w:rPr>
        <w:t xml:space="preserve">NDNR </w:t>
      </w:r>
      <w:r w:rsidR="00C54014" w:rsidRPr="00C54014">
        <w:rPr>
          <w:szCs w:val="24"/>
        </w:rPr>
        <w:t xml:space="preserve">to add </w:t>
      </w:r>
      <w:r>
        <w:rPr>
          <w:szCs w:val="24"/>
        </w:rPr>
        <w:t xml:space="preserve">the No-Cost </w:t>
      </w:r>
      <w:r w:rsidR="002D656C">
        <w:rPr>
          <w:szCs w:val="24"/>
        </w:rPr>
        <w:t>NCCW</w:t>
      </w:r>
      <w:r w:rsidR="00C54014" w:rsidRPr="00C54014">
        <w:rPr>
          <w:szCs w:val="24"/>
        </w:rPr>
        <w:t xml:space="preserve"> to the Lake McConaughy </w:t>
      </w:r>
      <w:r w:rsidR="002D656C">
        <w:rPr>
          <w:szCs w:val="24"/>
        </w:rPr>
        <w:t>EA</w:t>
      </w:r>
      <w:r w:rsidR="00C54014" w:rsidRPr="00C54014">
        <w:rPr>
          <w:szCs w:val="24"/>
        </w:rPr>
        <w:t xml:space="preserve"> on</w:t>
      </w:r>
      <w:r w:rsidR="002D656C">
        <w:rPr>
          <w:szCs w:val="24"/>
        </w:rPr>
        <w:t xml:space="preserve"> or about </w:t>
      </w:r>
      <w:r w:rsidR="00C54014" w:rsidRPr="00C54014">
        <w:rPr>
          <w:szCs w:val="24"/>
        </w:rPr>
        <w:t xml:space="preserve">October 1. </w:t>
      </w:r>
      <w:r>
        <w:rPr>
          <w:szCs w:val="24"/>
        </w:rPr>
        <w:t xml:space="preserve"> As shown in </w:t>
      </w:r>
      <w:r w:rsidRPr="00383D2B">
        <w:rPr>
          <w:b/>
          <w:szCs w:val="24"/>
        </w:rPr>
        <w:t xml:space="preserve">Table </w:t>
      </w:r>
      <w:r w:rsidR="00E72742">
        <w:rPr>
          <w:b/>
          <w:szCs w:val="24"/>
        </w:rPr>
        <w:t>15</w:t>
      </w:r>
      <w:r>
        <w:rPr>
          <w:szCs w:val="24"/>
        </w:rPr>
        <w:t xml:space="preserve">, </w:t>
      </w:r>
      <w:r w:rsidR="00C54014" w:rsidRPr="00C54014">
        <w:rPr>
          <w:szCs w:val="24"/>
        </w:rPr>
        <w:t xml:space="preserve">a yield of 314 AFY has been credited to the Lake McConaughy EA </w:t>
      </w:r>
      <w:r w:rsidR="002D656C">
        <w:rPr>
          <w:szCs w:val="24"/>
        </w:rPr>
        <w:t>in</w:t>
      </w:r>
      <w:r w:rsidR="00C54014" w:rsidRPr="00C54014">
        <w:rPr>
          <w:szCs w:val="24"/>
        </w:rPr>
        <w:t xml:space="preserve"> most years</w:t>
      </w:r>
      <w:r>
        <w:rPr>
          <w:szCs w:val="24"/>
        </w:rPr>
        <w:t xml:space="preserve"> since 2007</w:t>
      </w:r>
      <w:r w:rsidR="00C54014" w:rsidRPr="00C54014">
        <w:rPr>
          <w:szCs w:val="24"/>
        </w:rPr>
        <w:t>.</w:t>
      </w:r>
      <w:r w:rsidR="00383D2B">
        <w:rPr>
          <w:szCs w:val="24"/>
        </w:rPr>
        <w:t xml:space="preserve">  </w:t>
      </w:r>
      <w:r w:rsidR="00C16DC9">
        <w:rPr>
          <w:szCs w:val="24"/>
        </w:rPr>
        <w:t xml:space="preserve">No-Cost NCCW was not credited in 2010 and 2011 because it would have been lost to account resets.  </w:t>
      </w:r>
      <w:r w:rsidR="00E72742">
        <w:rPr>
          <w:b/>
          <w:sz w:val="22"/>
        </w:rPr>
        <w:br w:type="page"/>
      </w:r>
    </w:p>
    <w:p w14:paraId="7F86A017" w14:textId="04FE7EEA" w:rsidR="00150537" w:rsidRPr="00FB0421" w:rsidRDefault="00150537" w:rsidP="004E0658">
      <w:pPr>
        <w:pStyle w:val="ListParagraph"/>
        <w:ind w:left="0"/>
        <w:rPr>
          <w:sz w:val="22"/>
        </w:rPr>
      </w:pPr>
      <w:r w:rsidRPr="00FB0421">
        <w:rPr>
          <w:b/>
          <w:sz w:val="22"/>
        </w:rPr>
        <w:lastRenderedPageBreak/>
        <w:t xml:space="preserve">Table </w:t>
      </w:r>
      <w:r w:rsidR="00E72742">
        <w:rPr>
          <w:b/>
          <w:sz w:val="22"/>
        </w:rPr>
        <w:t>15</w:t>
      </w:r>
      <w:r w:rsidR="009D4FD7">
        <w:rPr>
          <w:b/>
          <w:sz w:val="22"/>
        </w:rPr>
        <w:t>.</w:t>
      </w:r>
      <w:r w:rsidR="00D64391">
        <w:rPr>
          <w:b/>
          <w:sz w:val="22"/>
        </w:rPr>
        <w:t xml:space="preserve"> </w:t>
      </w:r>
      <w:r w:rsidRPr="00FB0421">
        <w:rPr>
          <w:b/>
          <w:sz w:val="22"/>
        </w:rPr>
        <w:t xml:space="preserve"> </w:t>
      </w:r>
      <w:r w:rsidR="00D64391">
        <w:rPr>
          <w:b/>
          <w:sz w:val="22"/>
        </w:rPr>
        <w:t>Yield from No-Cost NCCW, 2007-2020</w:t>
      </w:r>
    </w:p>
    <w:tbl>
      <w:tblPr>
        <w:tblW w:w="5305" w:type="dxa"/>
        <w:tblLook w:val="04A0" w:firstRow="1" w:lastRow="0" w:firstColumn="1" w:lastColumn="0" w:noHBand="0" w:noVBand="1"/>
      </w:tblPr>
      <w:tblGrid>
        <w:gridCol w:w="2335"/>
        <w:gridCol w:w="2970"/>
      </w:tblGrid>
      <w:tr w:rsidR="00150537" w:rsidRPr="00FB0421" w14:paraId="6BD8A250" w14:textId="77777777" w:rsidTr="00383D2B">
        <w:trPr>
          <w:trHeight w:val="576"/>
        </w:trPr>
        <w:tc>
          <w:tcPr>
            <w:tcW w:w="2335" w:type="dxa"/>
            <w:tcBorders>
              <w:top w:val="single" w:sz="4" w:space="0" w:color="auto"/>
              <w:left w:val="single" w:sz="4" w:space="0" w:color="auto"/>
              <w:bottom w:val="single" w:sz="4" w:space="0" w:color="auto"/>
              <w:right w:val="single" w:sz="4" w:space="0" w:color="auto"/>
            </w:tcBorders>
            <w:shd w:val="clear" w:color="auto" w:fill="C2D69B" w:themeFill="accent3" w:themeFillTint="99"/>
            <w:vAlign w:val="bottom"/>
            <w:hideMark/>
          </w:tcPr>
          <w:p w14:paraId="6BF86FCB" w14:textId="77777777" w:rsidR="00150537" w:rsidRPr="00FB0421" w:rsidRDefault="00150537" w:rsidP="00150537">
            <w:pPr>
              <w:jc w:val="center"/>
              <w:rPr>
                <w:b/>
                <w:bCs/>
                <w:color w:val="000000"/>
                <w:sz w:val="22"/>
              </w:rPr>
            </w:pPr>
            <w:r w:rsidRPr="00FB0421">
              <w:rPr>
                <w:b/>
                <w:bCs/>
                <w:color w:val="000000"/>
                <w:sz w:val="22"/>
              </w:rPr>
              <w:t>Year</w:t>
            </w:r>
          </w:p>
        </w:tc>
        <w:tc>
          <w:tcPr>
            <w:tcW w:w="2970" w:type="dxa"/>
            <w:tcBorders>
              <w:top w:val="single" w:sz="4" w:space="0" w:color="auto"/>
              <w:left w:val="nil"/>
              <w:bottom w:val="single" w:sz="4" w:space="0" w:color="auto"/>
              <w:right w:val="single" w:sz="4" w:space="0" w:color="auto"/>
            </w:tcBorders>
            <w:shd w:val="clear" w:color="auto" w:fill="C2D69B" w:themeFill="accent3" w:themeFillTint="99"/>
            <w:vAlign w:val="bottom"/>
            <w:hideMark/>
          </w:tcPr>
          <w:p w14:paraId="34E5B582" w14:textId="77777777" w:rsidR="00150537" w:rsidRPr="00FB0421" w:rsidRDefault="00150537" w:rsidP="00150537">
            <w:pPr>
              <w:jc w:val="center"/>
              <w:rPr>
                <w:b/>
                <w:bCs/>
                <w:color w:val="000000"/>
                <w:sz w:val="22"/>
              </w:rPr>
            </w:pPr>
            <w:r w:rsidRPr="00FB0421">
              <w:rPr>
                <w:b/>
                <w:bCs/>
                <w:color w:val="000000"/>
                <w:sz w:val="22"/>
              </w:rPr>
              <w:t xml:space="preserve">Project Yield Credited to Lake McConaughy EA </w:t>
            </w:r>
          </w:p>
          <w:p w14:paraId="6B711251" w14:textId="77777777" w:rsidR="00150537" w:rsidRPr="00FB0421" w:rsidRDefault="00150537" w:rsidP="00150537">
            <w:pPr>
              <w:jc w:val="center"/>
              <w:rPr>
                <w:b/>
                <w:bCs/>
                <w:color w:val="000000"/>
                <w:sz w:val="22"/>
              </w:rPr>
            </w:pPr>
            <w:r w:rsidRPr="00FB0421">
              <w:rPr>
                <w:b/>
                <w:bCs/>
                <w:color w:val="000000"/>
                <w:sz w:val="22"/>
              </w:rPr>
              <w:t>(AF)</w:t>
            </w:r>
          </w:p>
        </w:tc>
      </w:tr>
      <w:tr w:rsidR="00150537" w:rsidRPr="00FB0421" w14:paraId="6EC0F912" w14:textId="77777777" w:rsidTr="00FB0421">
        <w:trPr>
          <w:trHeight w:val="288"/>
        </w:trPr>
        <w:tc>
          <w:tcPr>
            <w:tcW w:w="2335" w:type="dxa"/>
            <w:tcBorders>
              <w:top w:val="nil"/>
              <w:left w:val="single" w:sz="4" w:space="0" w:color="auto"/>
              <w:bottom w:val="single" w:sz="4" w:space="0" w:color="auto"/>
              <w:right w:val="single" w:sz="4" w:space="0" w:color="auto"/>
            </w:tcBorders>
            <w:shd w:val="clear" w:color="auto" w:fill="auto"/>
            <w:noWrap/>
            <w:vAlign w:val="center"/>
            <w:hideMark/>
          </w:tcPr>
          <w:p w14:paraId="70D7BEB0" w14:textId="77777777" w:rsidR="00150537" w:rsidRPr="00FB0421" w:rsidRDefault="00150537" w:rsidP="00150537">
            <w:pPr>
              <w:jc w:val="center"/>
              <w:rPr>
                <w:color w:val="000000"/>
                <w:sz w:val="22"/>
              </w:rPr>
            </w:pPr>
            <w:r w:rsidRPr="00FB0421">
              <w:rPr>
                <w:color w:val="000000"/>
                <w:sz w:val="22"/>
              </w:rPr>
              <w:t>2007</w:t>
            </w:r>
          </w:p>
        </w:tc>
        <w:tc>
          <w:tcPr>
            <w:tcW w:w="2970" w:type="dxa"/>
            <w:tcBorders>
              <w:top w:val="nil"/>
              <w:left w:val="nil"/>
              <w:bottom w:val="single" w:sz="4" w:space="0" w:color="auto"/>
              <w:right w:val="single" w:sz="4" w:space="0" w:color="auto"/>
            </w:tcBorders>
            <w:shd w:val="clear" w:color="auto" w:fill="auto"/>
            <w:noWrap/>
            <w:vAlign w:val="center"/>
            <w:hideMark/>
          </w:tcPr>
          <w:p w14:paraId="1FBB47DF" w14:textId="77777777" w:rsidR="00150537" w:rsidRPr="00FB0421" w:rsidRDefault="00150537" w:rsidP="00150537">
            <w:pPr>
              <w:jc w:val="center"/>
              <w:rPr>
                <w:color w:val="000000"/>
                <w:sz w:val="22"/>
              </w:rPr>
            </w:pPr>
            <w:r w:rsidRPr="00FB0421">
              <w:rPr>
                <w:color w:val="000000"/>
                <w:sz w:val="22"/>
              </w:rPr>
              <w:t>314</w:t>
            </w:r>
          </w:p>
        </w:tc>
      </w:tr>
      <w:tr w:rsidR="00150537" w:rsidRPr="00FB0421" w14:paraId="32695D09" w14:textId="77777777" w:rsidTr="00FB0421">
        <w:trPr>
          <w:trHeight w:val="288"/>
        </w:trPr>
        <w:tc>
          <w:tcPr>
            <w:tcW w:w="2335" w:type="dxa"/>
            <w:tcBorders>
              <w:top w:val="nil"/>
              <w:left w:val="single" w:sz="4" w:space="0" w:color="auto"/>
              <w:bottom w:val="single" w:sz="4" w:space="0" w:color="auto"/>
              <w:right w:val="single" w:sz="4" w:space="0" w:color="auto"/>
            </w:tcBorders>
            <w:shd w:val="clear" w:color="auto" w:fill="auto"/>
            <w:noWrap/>
            <w:vAlign w:val="center"/>
            <w:hideMark/>
          </w:tcPr>
          <w:p w14:paraId="7C20172E" w14:textId="77777777" w:rsidR="00150537" w:rsidRPr="00FB0421" w:rsidRDefault="00150537" w:rsidP="00150537">
            <w:pPr>
              <w:jc w:val="center"/>
              <w:rPr>
                <w:color w:val="000000"/>
                <w:sz w:val="22"/>
              </w:rPr>
            </w:pPr>
            <w:r w:rsidRPr="00FB0421">
              <w:rPr>
                <w:color w:val="000000"/>
                <w:sz w:val="22"/>
              </w:rPr>
              <w:t>2008</w:t>
            </w:r>
          </w:p>
        </w:tc>
        <w:tc>
          <w:tcPr>
            <w:tcW w:w="2970" w:type="dxa"/>
            <w:tcBorders>
              <w:top w:val="nil"/>
              <w:left w:val="nil"/>
              <w:bottom w:val="single" w:sz="4" w:space="0" w:color="auto"/>
              <w:right w:val="single" w:sz="4" w:space="0" w:color="auto"/>
            </w:tcBorders>
            <w:shd w:val="clear" w:color="auto" w:fill="auto"/>
            <w:noWrap/>
            <w:vAlign w:val="center"/>
            <w:hideMark/>
          </w:tcPr>
          <w:p w14:paraId="7626326C" w14:textId="77777777" w:rsidR="00150537" w:rsidRPr="00FB0421" w:rsidRDefault="00150537" w:rsidP="00150537">
            <w:pPr>
              <w:jc w:val="center"/>
              <w:rPr>
                <w:color w:val="000000"/>
                <w:sz w:val="22"/>
              </w:rPr>
            </w:pPr>
            <w:r w:rsidRPr="00FB0421">
              <w:rPr>
                <w:color w:val="000000"/>
                <w:sz w:val="22"/>
              </w:rPr>
              <w:t>314</w:t>
            </w:r>
          </w:p>
        </w:tc>
      </w:tr>
      <w:tr w:rsidR="00150537" w:rsidRPr="00FB0421" w14:paraId="2400EE6A" w14:textId="77777777" w:rsidTr="00FB0421">
        <w:trPr>
          <w:trHeight w:val="288"/>
        </w:trPr>
        <w:tc>
          <w:tcPr>
            <w:tcW w:w="2335" w:type="dxa"/>
            <w:tcBorders>
              <w:top w:val="nil"/>
              <w:left w:val="single" w:sz="4" w:space="0" w:color="auto"/>
              <w:bottom w:val="single" w:sz="4" w:space="0" w:color="auto"/>
              <w:right w:val="single" w:sz="4" w:space="0" w:color="auto"/>
            </w:tcBorders>
            <w:shd w:val="clear" w:color="auto" w:fill="auto"/>
            <w:noWrap/>
            <w:vAlign w:val="center"/>
            <w:hideMark/>
          </w:tcPr>
          <w:p w14:paraId="0F22E93B" w14:textId="77777777" w:rsidR="00150537" w:rsidRPr="00FB0421" w:rsidRDefault="00150537" w:rsidP="00150537">
            <w:pPr>
              <w:jc w:val="center"/>
              <w:rPr>
                <w:color w:val="000000"/>
                <w:sz w:val="22"/>
              </w:rPr>
            </w:pPr>
            <w:r w:rsidRPr="00FB0421">
              <w:rPr>
                <w:color w:val="000000"/>
                <w:sz w:val="22"/>
              </w:rPr>
              <w:t>2009</w:t>
            </w:r>
          </w:p>
        </w:tc>
        <w:tc>
          <w:tcPr>
            <w:tcW w:w="2970" w:type="dxa"/>
            <w:tcBorders>
              <w:top w:val="nil"/>
              <w:left w:val="nil"/>
              <w:bottom w:val="single" w:sz="4" w:space="0" w:color="auto"/>
              <w:right w:val="single" w:sz="4" w:space="0" w:color="auto"/>
            </w:tcBorders>
            <w:shd w:val="clear" w:color="auto" w:fill="auto"/>
            <w:noWrap/>
            <w:vAlign w:val="center"/>
            <w:hideMark/>
          </w:tcPr>
          <w:p w14:paraId="495A306F" w14:textId="77777777" w:rsidR="00150537" w:rsidRPr="00FB0421" w:rsidRDefault="00150537" w:rsidP="00150537">
            <w:pPr>
              <w:jc w:val="center"/>
              <w:rPr>
                <w:color w:val="000000"/>
                <w:sz w:val="22"/>
              </w:rPr>
            </w:pPr>
            <w:r w:rsidRPr="00FB0421">
              <w:rPr>
                <w:color w:val="000000"/>
                <w:sz w:val="22"/>
              </w:rPr>
              <w:t>314</w:t>
            </w:r>
          </w:p>
        </w:tc>
      </w:tr>
      <w:tr w:rsidR="00150537" w:rsidRPr="00FB0421" w14:paraId="44420E81" w14:textId="77777777" w:rsidTr="00FB0421">
        <w:trPr>
          <w:trHeight w:val="288"/>
        </w:trPr>
        <w:tc>
          <w:tcPr>
            <w:tcW w:w="2335" w:type="dxa"/>
            <w:tcBorders>
              <w:top w:val="nil"/>
              <w:left w:val="single" w:sz="4" w:space="0" w:color="auto"/>
              <w:bottom w:val="single" w:sz="4" w:space="0" w:color="auto"/>
              <w:right w:val="single" w:sz="4" w:space="0" w:color="auto"/>
            </w:tcBorders>
            <w:shd w:val="clear" w:color="auto" w:fill="auto"/>
            <w:noWrap/>
            <w:vAlign w:val="center"/>
            <w:hideMark/>
          </w:tcPr>
          <w:p w14:paraId="52C7150D" w14:textId="77777777" w:rsidR="00150537" w:rsidRPr="00FB0421" w:rsidRDefault="00150537" w:rsidP="00150537">
            <w:pPr>
              <w:jc w:val="center"/>
              <w:rPr>
                <w:color w:val="000000"/>
                <w:sz w:val="22"/>
              </w:rPr>
            </w:pPr>
            <w:r w:rsidRPr="00FB0421">
              <w:rPr>
                <w:color w:val="000000"/>
                <w:sz w:val="22"/>
              </w:rPr>
              <w:t>2010</w:t>
            </w:r>
          </w:p>
        </w:tc>
        <w:tc>
          <w:tcPr>
            <w:tcW w:w="2970" w:type="dxa"/>
            <w:tcBorders>
              <w:top w:val="nil"/>
              <w:left w:val="nil"/>
              <w:bottom w:val="single" w:sz="4" w:space="0" w:color="auto"/>
              <w:right w:val="single" w:sz="4" w:space="0" w:color="auto"/>
            </w:tcBorders>
            <w:shd w:val="clear" w:color="auto" w:fill="auto"/>
            <w:noWrap/>
            <w:vAlign w:val="center"/>
            <w:hideMark/>
          </w:tcPr>
          <w:p w14:paraId="3A7F6492" w14:textId="77777777" w:rsidR="00150537" w:rsidRPr="00FB0421" w:rsidRDefault="00150537" w:rsidP="00150537">
            <w:pPr>
              <w:jc w:val="center"/>
              <w:rPr>
                <w:color w:val="000000"/>
                <w:sz w:val="22"/>
              </w:rPr>
            </w:pPr>
            <w:r w:rsidRPr="00FB0421">
              <w:rPr>
                <w:color w:val="000000"/>
                <w:sz w:val="22"/>
              </w:rPr>
              <w:t>0</w:t>
            </w:r>
          </w:p>
        </w:tc>
      </w:tr>
      <w:tr w:rsidR="00150537" w:rsidRPr="00FB0421" w14:paraId="060CBCFC" w14:textId="77777777" w:rsidTr="00FB0421">
        <w:trPr>
          <w:trHeight w:val="288"/>
        </w:trPr>
        <w:tc>
          <w:tcPr>
            <w:tcW w:w="2335" w:type="dxa"/>
            <w:tcBorders>
              <w:top w:val="nil"/>
              <w:left w:val="single" w:sz="4" w:space="0" w:color="auto"/>
              <w:bottom w:val="single" w:sz="4" w:space="0" w:color="auto"/>
              <w:right w:val="single" w:sz="4" w:space="0" w:color="auto"/>
            </w:tcBorders>
            <w:shd w:val="clear" w:color="auto" w:fill="auto"/>
            <w:noWrap/>
            <w:vAlign w:val="center"/>
            <w:hideMark/>
          </w:tcPr>
          <w:p w14:paraId="3533400F" w14:textId="77777777" w:rsidR="00150537" w:rsidRPr="00FB0421" w:rsidRDefault="00150537" w:rsidP="00150537">
            <w:pPr>
              <w:jc w:val="center"/>
              <w:rPr>
                <w:color w:val="000000"/>
                <w:sz w:val="22"/>
              </w:rPr>
            </w:pPr>
            <w:r w:rsidRPr="00FB0421">
              <w:rPr>
                <w:color w:val="000000"/>
                <w:sz w:val="22"/>
              </w:rPr>
              <w:t>2011</w:t>
            </w:r>
          </w:p>
        </w:tc>
        <w:tc>
          <w:tcPr>
            <w:tcW w:w="2970" w:type="dxa"/>
            <w:tcBorders>
              <w:top w:val="nil"/>
              <w:left w:val="nil"/>
              <w:bottom w:val="single" w:sz="4" w:space="0" w:color="auto"/>
              <w:right w:val="single" w:sz="4" w:space="0" w:color="auto"/>
            </w:tcBorders>
            <w:shd w:val="clear" w:color="auto" w:fill="auto"/>
            <w:noWrap/>
            <w:vAlign w:val="center"/>
            <w:hideMark/>
          </w:tcPr>
          <w:p w14:paraId="0A2D4716" w14:textId="77777777" w:rsidR="00150537" w:rsidRPr="00FB0421" w:rsidRDefault="00150537" w:rsidP="00150537">
            <w:pPr>
              <w:jc w:val="center"/>
              <w:rPr>
                <w:color w:val="000000"/>
                <w:sz w:val="22"/>
              </w:rPr>
            </w:pPr>
            <w:r w:rsidRPr="00FB0421">
              <w:rPr>
                <w:color w:val="000000"/>
                <w:sz w:val="22"/>
              </w:rPr>
              <w:t>0</w:t>
            </w:r>
          </w:p>
        </w:tc>
      </w:tr>
      <w:tr w:rsidR="00150537" w:rsidRPr="00FB0421" w14:paraId="21DA8B73" w14:textId="77777777" w:rsidTr="00FB0421">
        <w:trPr>
          <w:trHeight w:val="288"/>
        </w:trPr>
        <w:tc>
          <w:tcPr>
            <w:tcW w:w="2335" w:type="dxa"/>
            <w:tcBorders>
              <w:top w:val="nil"/>
              <w:left w:val="single" w:sz="4" w:space="0" w:color="auto"/>
              <w:bottom w:val="single" w:sz="4" w:space="0" w:color="auto"/>
              <w:right w:val="single" w:sz="4" w:space="0" w:color="auto"/>
            </w:tcBorders>
            <w:shd w:val="clear" w:color="auto" w:fill="auto"/>
            <w:noWrap/>
            <w:vAlign w:val="center"/>
            <w:hideMark/>
          </w:tcPr>
          <w:p w14:paraId="31BAC68C" w14:textId="77777777" w:rsidR="00150537" w:rsidRPr="00FB0421" w:rsidRDefault="00150537" w:rsidP="00150537">
            <w:pPr>
              <w:jc w:val="center"/>
              <w:rPr>
                <w:color w:val="000000"/>
                <w:sz w:val="22"/>
              </w:rPr>
            </w:pPr>
            <w:r w:rsidRPr="00FB0421">
              <w:rPr>
                <w:color w:val="000000"/>
                <w:sz w:val="22"/>
              </w:rPr>
              <w:t>2012</w:t>
            </w:r>
          </w:p>
        </w:tc>
        <w:tc>
          <w:tcPr>
            <w:tcW w:w="2970" w:type="dxa"/>
            <w:tcBorders>
              <w:top w:val="nil"/>
              <w:left w:val="nil"/>
              <w:bottom w:val="single" w:sz="4" w:space="0" w:color="auto"/>
              <w:right w:val="single" w:sz="4" w:space="0" w:color="auto"/>
            </w:tcBorders>
            <w:shd w:val="clear" w:color="auto" w:fill="auto"/>
            <w:noWrap/>
            <w:vAlign w:val="center"/>
            <w:hideMark/>
          </w:tcPr>
          <w:p w14:paraId="655FA8C5" w14:textId="77777777" w:rsidR="00150537" w:rsidRPr="00FB0421" w:rsidRDefault="00150537" w:rsidP="00150537">
            <w:pPr>
              <w:jc w:val="center"/>
              <w:rPr>
                <w:color w:val="000000"/>
                <w:sz w:val="22"/>
              </w:rPr>
            </w:pPr>
            <w:r w:rsidRPr="00FB0421">
              <w:rPr>
                <w:color w:val="000000"/>
                <w:sz w:val="22"/>
              </w:rPr>
              <w:t>314</w:t>
            </w:r>
          </w:p>
        </w:tc>
      </w:tr>
      <w:tr w:rsidR="00150537" w:rsidRPr="00FB0421" w14:paraId="6D553229" w14:textId="77777777" w:rsidTr="00FB0421">
        <w:trPr>
          <w:trHeight w:val="288"/>
        </w:trPr>
        <w:tc>
          <w:tcPr>
            <w:tcW w:w="2335" w:type="dxa"/>
            <w:tcBorders>
              <w:top w:val="nil"/>
              <w:left w:val="single" w:sz="4" w:space="0" w:color="auto"/>
              <w:bottom w:val="single" w:sz="4" w:space="0" w:color="auto"/>
              <w:right w:val="single" w:sz="4" w:space="0" w:color="auto"/>
            </w:tcBorders>
            <w:shd w:val="clear" w:color="auto" w:fill="auto"/>
            <w:noWrap/>
            <w:vAlign w:val="center"/>
            <w:hideMark/>
          </w:tcPr>
          <w:p w14:paraId="5824743F" w14:textId="77777777" w:rsidR="00150537" w:rsidRPr="00FB0421" w:rsidRDefault="00150537" w:rsidP="00150537">
            <w:pPr>
              <w:jc w:val="center"/>
              <w:rPr>
                <w:color w:val="000000"/>
                <w:sz w:val="22"/>
              </w:rPr>
            </w:pPr>
            <w:r w:rsidRPr="00FB0421">
              <w:rPr>
                <w:color w:val="000000"/>
                <w:sz w:val="22"/>
              </w:rPr>
              <w:t>2013</w:t>
            </w:r>
          </w:p>
        </w:tc>
        <w:tc>
          <w:tcPr>
            <w:tcW w:w="2970" w:type="dxa"/>
            <w:tcBorders>
              <w:top w:val="nil"/>
              <w:left w:val="nil"/>
              <w:bottom w:val="single" w:sz="4" w:space="0" w:color="auto"/>
              <w:right w:val="single" w:sz="4" w:space="0" w:color="auto"/>
            </w:tcBorders>
            <w:shd w:val="clear" w:color="auto" w:fill="auto"/>
            <w:noWrap/>
            <w:vAlign w:val="center"/>
            <w:hideMark/>
          </w:tcPr>
          <w:p w14:paraId="098C7AF1" w14:textId="77777777" w:rsidR="00150537" w:rsidRPr="00FB0421" w:rsidRDefault="00150537" w:rsidP="00150537">
            <w:pPr>
              <w:jc w:val="center"/>
              <w:rPr>
                <w:color w:val="000000"/>
                <w:sz w:val="22"/>
              </w:rPr>
            </w:pPr>
            <w:r w:rsidRPr="00FB0421">
              <w:rPr>
                <w:color w:val="000000"/>
                <w:sz w:val="22"/>
              </w:rPr>
              <w:t>314</w:t>
            </w:r>
          </w:p>
        </w:tc>
      </w:tr>
      <w:tr w:rsidR="00150537" w:rsidRPr="00FB0421" w14:paraId="4930ABC5" w14:textId="77777777" w:rsidTr="00FB0421">
        <w:trPr>
          <w:trHeight w:val="288"/>
        </w:trPr>
        <w:tc>
          <w:tcPr>
            <w:tcW w:w="2335" w:type="dxa"/>
            <w:tcBorders>
              <w:top w:val="nil"/>
              <w:left w:val="single" w:sz="4" w:space="0" w:color="auto"/>
              <w:bottom w:val="single" w:sz="4" w:space="0" w:color="auto"/>
              <w:right w:val="single" w:sz="4" w:space="0" w:color="auto"/>
            </w:tcBorders>
            <w:shd w:val="clear" w:color="auto" w:fill="auto"/>
            <w:noWrap/>
            <w:vAlign w:val="center"/>
            <w:hideMark/>
          </w:tcPr>
          <w:p w14:paraId="78723B16" w14:textId="77777777" w:rsidR="00150537" w:rsidRPr="00FB0421" w:rsidRDefault="00150537" w:rsidP="00150537">
            <w:pPr>
              <w:jc w:val="center"/>
              <w:rPr>
                <w:color w:val="000000"/>
                <w:sz w:val="22"/>
              </w:rPr>
            </w:pPr>
            <w:r w:rsidRPr="00FB0421">
              <w:rPr>
                <w:color w:val="000000"/>
                <w:sz w:val="22"/>
              </w:rPr>
              <w:t>2014</w:t>
            </w:r>
          </w:p>
        </w:tc>
        <w:tc>
          <w:tcPr>
            <w:tcW w:w="2970" w:type="dxa"/>
            <w:tcBorders>
              <w:top w:val="nil"/>
              <w:left w:val="nil"/>
              <w:bottom w:val="single" w:sz="4" w:space="0" w:color="auto"/>
              <w:right w:val="single" w:sz="4" w:space="0" w:color="auto"/>
            </w:tcBorders>
            <w:shd w:val="clear" w:color="auto" w:fill="auto"/>
            <w:noWrap/>
            <w:vAlign w:val="center"/>
            <w:hideMark/>
          </w:tcPr>
          <w:p w14:paraId="5151C648" w14:textId="77777777" w:rsidR="00150537" w:rsidRPr="00FB0421" w:rsidRDefault="00150537" w:rsidP="00150537">
            <w:pPr>
              <w:jc w:val="center"/>
              <w:rPr>
                <w:color w:val="000000"/>
                <w:sz w:val="22"/>
              </w:rPr>
            </w:pPr>
            <w:r w:rsidRPr="00FB0421">
              <w:rPr>
                <w:color w:val="000000"/>
                <w:sz w:val="22"/>
              </w:rPr>
              <w:t>314</w:t>
            </w:r>
          </w:p>
        </w:tc>
      </w:tr>
      <w:tr w:rsidR="00150537" w:rsidRPr="00FB0421" w14:paraId="6DE81368" w14:textId="77777777" w:rsidTr="00FB0421">
        <w:trPr>
          <w:trHeight w:val="288"/>
        </w:trPr>
        <w:tc>
          <w:tcPr>
            <w:tcW w:w="2335" w:type="dxa"/>
            <w:tcBorders>
              <w:top w:val="nil"/>
              <w:left w:val="single" w:sz="4" w:space="0" w:color="auto"/>
              <w:bottom w:val="single" w:sz="4" w:space="0" w:color="auto"/>
              <w:right w:val="single" w:sz="4" w:space="0" w:color="auto"/>
            </w:tcBorders>
            <w:shd w:val="clear" w:color="auto" w:fill="auto"/>
            <w:noWrap/>
            <w:vAlign w:val="center"/>
            <w:hideMark/>
          </w:tcPr>
          <w:p w14:paraId="6B3A88D1" w14:textId="77777777" w:rsidR="00150537" w:rsidRPr="00FB0421" w:rsidRDefault="00150537" w:rsidP="00150537">
            <w:pPr>
              <w:jc w:val="center"/>
              <w:rPr>
                <w:color w:val="000000"/>
                <w:sz w:val="22"/>
              </w:rPr>
            </w:pPr>
            <w:r w:rsidRPr="00FB0421">
              <w:rPr>
                <w:color w:val="000000"/>
                <w:sz w:val="22"/>
              </w:rPr>
              <w:t>2015</w:t>
            </w:r>
          </w:p>
        </w:tc>
        <w:tc>
          <w:tcPr>
            <w:tcW w:w="2970" w:type="dxa"/>
            <w:tcBorders>
              <w:top w:val="nil"/>
              <w:left w:val="nil"/>
              <w:bottom w:val="single" w:sz="4" w:space="0" w:color="auto"/>
              <w:right w:val="single" w:sz="4" w:space="0" w:color="auto"/>
            </w:tcBorders>
            <w:shd w:val="clear" w:color="auto" w:fill="auto"/>
            <w:noWrap/>
            <w:vAlign w:val="center"/>
            <w:hideMark/>
          </w:tcPr>
          <w:p w14:paraId="3F9FBB7A" w14:textId="77777777" w:rsidR="00150537" w:rsidRPr="00FB0421" w:rsidRDefault="00150537" w:rsidP="00150537">
            <w:pPr>
              <w:jc w:val="center"/>
              <w:rPr>
                <w:color w:val="000000"/>
                <w:sz w:val="22"/>
              </w:rPr>
            </w:pPr>
            <w:r w:rsidRPr="00FB0421">
              <w:rPr>
                <w:color w:val="000000"/>
                <w:sz w:val="22"/>
              </w:rPr>
              <w:t>314</w:t>
            </w:r>
          </w:p>
        </w:tc>
      </w:tr>
      <w:tr w:rsidR="00150537" w:rsidRPr="00FB0421" w14:paraId="3CD9FF8F" w14:textId="77777777" w:rsidTr="00FB0421">
        <w:trPr>
          <w:trHeight w:val="288"/>
        </w:trPr>
        <w:tc>
          <w:tcPr>
            <w:tcW w:w="2335" w:type="dxa"/>
            <w:tcBorders>
              <w:top w:val="nil"/>
              <w:left w:val="single" w:sz="4" w:space="0" w:color="auto"/>
              <w:bottom w:val="single" w:sz="4" w:space="0" w:color="auto"/>
              <w:right w:val="single" w:sz="4" w:space="0" w:color="auto"/>
            </w:tcBorders>
            <w:shd w:val="clear" w:color="auto" w:fill="auto"/>
            <w:noWrap/>
            <w:vAlign w:val="center"/>
            <w:hideMark/>
          </w:tcPr>
          <w:p w14:paraId="7B3D5FAF" w14:textId="77777777" w:rsidR="00150537" w:rsidRPr="00FB0421" w:rsidRDefault="00150537" w:rsidP="00150537">
            <w:pPr>
              <w:jc w:val="center"/>
              <w:rPr>
                <w:color w:val="000000"/>
                <w:sz w:val="22"/>
              </w:rPr>
            </w:pPr>
            <w:r w:rsidRPr="00FB0421">
              <w:rPr>
                <w:color w:val="000000"/>
                <w:sz w:val="22"/>
              </w:rPr>
              <w:t>2016</w:t>
            </w:r>
          </w:p>
        </w:tc>
        <w:tc>
          <w:tcPr>
            <w:tcW w:w="2970" w:type="dxa"/>
            <w:tcBorders>
              <w:top w:val="nil"/>
              <w:left w:val="nil"/>
              <w:bottom w:val="single" w:sz="4" w:space="0" w:color="auto"/>
              <w:right w:val="single" w:sz="4" w:space="0" w:color="auto"/>
            </w:tcBorders>
            <w:shd w:val="clear" w:color="auto" w:fill="auto"/>
            <w:noWrap/>
            <w:vAlign w:val="center"/>
            <w:hideMark/>
          </w:tcPr>
          <w:p w14:paraId="7C8CB3C8" w14:textId="77777777" w:rsidR="00150537" w:rsidRPr="00FB0421" w:rsidRDefault="00150537" w:rsidP="00150537">
            <w:pPr>
              <w:jc w:val="center"/>
              <w:rPr>
                <w:color w:val="000000"/>
                <w:sz w:val="22"/>
              </w:rPr>
            </w:pPr>
            <w:r w:rsidRPr="00FB0421">
              <w:rPr>
                <w:color w:val="000000"/>
                <w:sz w:val="22"/>
              </w:rPr>
              <w:t>314</w:t>
            </w:r>
          </w:p>
        </w:tc>
      </w:tr>
      <w:tr w:rsidR="00150537" w:rsidRPr="00FB0421" w14:paraId="69BC43F9" w14:textId="77777777" w:rsidTr="00FB0421">
        <w:trPr>
          <w:trHeight w:val="288"/>
        </w:trPr>
        <w:tc>
          <w:tcPr>
            <w:tcW w:w="233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2DED30" w14:textId="77777777" w:rsidR="00150537" w:rsidRPr="00FB0421" w:rsidRDefault="00150537" w:rsidP="00150537">
            <w:pPr>
              <w:jc w:val="center"/>
              <w:rPr>
                <w:color w:val="000000"/>
                <w:sz w:val="22"/>
              </w:rPr>
            </w:pPr>
            <w:r w:rsidRPr="00FB0421">
              <w:rPr>
                <w:color w:val="000000"/>
                <w:sz w:val="22"/>
              </w:rPr>
              <w:t>2017</w:t>
            </w:r>
          </w:p>
        </w:tc>
        <w:tc>
          <w:tcPr>
            <w:tcW w:w="2970" w:type="dxa"/>
            <w:tcBorders>
              <w:top w:val="single" w:sz="4" w:space="0" w:color="auto"/>
              <w:left w:val="nil"/>
              <w:bottom w:val="single" w:sz="4" w:space="0" w:color="auto"/>
              <w:right w:val="single" w:sz="4" w:space="0" w:color="auto"/>
            </w:tcBorders>
            <w:shd w:val="clear" w:color="auto" w:fill="auto"/>
            <w:noWrap/>
            <w:vAlign w:val="center"/>
            <w:hideMark/>
          </w:tcPr>
          <w:p w14:paraId="06F114EC" w14:textId="77777777" w:rsidR="00150537" w:rsidRPr="00FB0421" w:rsidRDefault="00150537" w:rsidP="00150537">
            <w:pPr>
              <w:jc w:val="center"/>
              <w:rPr>
                <w:color w:val="000000"/>
                <w:sz w:val="22"/>
              </w:rPr>
            </w:pPr>
            <w:r w:rsidRPr="00FB0421">
              <w:rPr>
                <w:color w:val="000000"/>
                <w:sz w:val="22"/>
              </w:rPr>
              <w:t>314</w:t>
            </w:r>
          </w:p>
        </w:tc>
      </w:tr>
      <w:tr w:rsidR="00383D2B" w:rsidRPr="00FB0421" w14:paraId="0BCB191D" w14:textId="77777777" w:rsidTr="00FB0421">
        <w:trPr>
          <w:trHeight w:val="288"/>
        </w:trPr>
        <w:tc>
          <w:tcPr>
            <w:tcW w:w="233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582D01C" w14:textId="483045BC" w:rsidR="00383D2B" w:rsidRPr="00FB0421" w:rsidRDefault="00383D2B" w:rsidP="00150537">
            <w:pPr>
              <w:jc w:val="center"/>
              <w:rPr>
                <w:color w:val="000000"/>
                <w:sz w:val="22"/>
              </w:rPr>
            </w:pPr>
            <w:r w:rsidRPr="00FB0421">
              <w:rPr>
                <w:color w:val="000000"/>
                <w:sz w:val="22"/>
              </w:rPr>
              <w:t>2018</w:t>
            </w:r>
          </w:p>
        </w:tc>
        <w:tc>
          <w:tcPr>
            <w:tcW w:w="2970" w:type="dxa"/>
            <w:tcBorders>
              <w:top w:val="single" w:sz="4" w:space="0" w:color="auto"/>
              <w:left w:val="nil"/>
              <w:bottom w:val="single" w:sz="4" w:space="0" w:color="auto"/>
              <w:right w:val="single" w:sz="4" w:space="0" w:color="auto"/>
            </w:tcBorders>
            <w:shd w:val="clear" w:color="auto" w:fill="auto"/>
            <w:noWrap/>
            <w:vAlign w:val="center"/>
          </w:tcPr>
          <w:p w14:paraId="067684A3" w14:textId="26CE6DF5" w:rsidR="00383D2B" w:rsidRPr="00FB0421" w:rsidRDefault="00383D2B" w:rsidP="00150537">
            <w:pPr>
              <w:jc w:val="center"/>
              <w:rPr>
                <w:color w:val="000000"/>
                <w:sz w:val="22"/>
              </w:rPr>
            </w:pPr>
            <w:r w:rsidRPr="00FB0421">
              <w:rPr>
                <w:color w:val="000000"/>
                <w:sz w:val="22"/>
              </w:rPr>
              <w:t>314</w:t>
            </w:r>
          </w:p>
        </w:tc>
      </w:tr>
      <w:tr w:rsidR="00CD1F65" w:rsidRPr="00FB0421" w14:paraId="359F7CA6" w14:textId="77777777" w:rsidTr="00FB0421">
        <w:trPr>
          <w:trHeight w:val="288"/>
        </w:trPr>
        <w:tc>
          <w:tcPr>
            <w:tcW w:w="233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85994E8" w14:textId="56311951" w:rsidR="00CD1F65" w:rsidRPr="00FB0421" w:rsidRDefault="00CD1F65" w:rsidP="00150537">
            <w:pPr>
              <w:jc w:val="center"/>
              <w:rPr>
                <w:color w:val="000000"/>
                <w:sz w:val="22"/>
              </w:rPr>
            </w:pPr>
            <w:r>
              <w:rPr>
                <w:color w:val="000000"/>
                <w:sz w:val="22"/>
              </w:rPr>
              <w:t>2019</w:t>
            </w:r>
          </w:p>
        </w:tc>
        <w:tc>
          <w:tcPr>
            <w:tcW w:w="2970" w:type="dxa"/>
            <w:tcBorders>
              <w:top w:val="single" w:sz="4" w:space="0" w:color="auto"/>
              <w:left w:val="nil"/>
              <w:bottom w:val="single" w:sz="4" w:space="0" w:color="auto"/>
              <w:right w:val="single" w:sz="4" w:space="0" w:color="auto"/>
            </w:tcBorders>
            <w:shd w:val="clear" w:color="auto" w:fill="auto"/>
            <w:noWrap/>
            <w:vAlign w:val="center"/>
          </w:tcPr>
          <w:p w14:paraId="3FB248CB" w14:textId="4369526D" w:rsidR="00CD1F65" w:rsidRPr="00FB0421" w:rsidRDefault="00CD1F65" w:rsidP="00150537">
            <w:pPr>
              <w:jc w:val="center"/>
              <w:rPr>
                <w:color w:val="000000"/>
                <w:sz w:val="22"/>
              </w:rPr>
            </w:pPr>
            <w:r>
              <w:rPr>
                <w:color w:val="000000"/>
                <w:sz w:val="22"/>
              </w:rPr>
              <w:t>314</w:t>
            </w:r>
          </w:p>
        </w:tc>
      </w:tr>
      <w:tr w:rsidR="00CD1F65" w:rsidRPr="00FB0421" w14:paraId="0FDBB8A1" w14:textId="77777777" w:rsidTr="00FB0421">
        <w:trPr>
          <w:trHeight w:val="288"/>
        </w:trPr>
        <w:tc>
          <w:tcPr>
            <w:tcW w:w="233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BA77AF2" w14:textId="0F08EC8F" w:rsidR="00CD1F65" w:rsidRPr="00FB0421" w:rsidRDefault="00CD1F65" w:rsidP="00150537">
            <w:pPr>
              <w:jc w:val="center"/>
              <w:rPr>
                <w:color w:val="000000"/>
                <w:sz w:val="22"/>
              </w:rPr>
            </w:pPr>
            <w:r>
              <w:rPr>
                <w:color w:val="000000"/>
                <w:sz w:val="22"/>
              </w:rPr>
              <w:t>2020</w:t>
            </w:r>
          </w:p>
        </w:tc>
        <w:tc>
          <w:tcPr>
            <w:tcW w:w="2970" w:type="dxa"/>
            <w:tcBorders>
              <w:top w:val="single" w:sz="4" w:space="0" w:color="auto"/>
              <w:left w:val="nil"/>
              <w:bottom w:val="single" w:sz="4" w:space="0" w:color="auto"/>
              <w:right w:val="single" w:sz="4" w:space="0" w:color="auto"/>
            </w:tcBorders>
            <w:shd w:val="clear" w:color="auto" w:fill="auto"/>
            <w:noWrap/>
            <w:vAlign w:val="center"/>
          </w:tcPr>
          <w:p w14:paraId="33243A42" w14:textId="39569671" w:rsidR="00CD1F65" w:rsidRPr="00FB0421" w:rsidRDefault="00CD1F65" w:rsidP="00150537">
            <w:pPr>
              <w:jc w:val="center"/>
              <w:rPr>
                <w:color w:val="000000"/>
                <w:sz w:val="22"/>
              </w:rPr>
            </w:pPr>
            <w:r>
              <w:rPr>
                <w:color w:val="000000"/>
                <w:sz w:val="22"/>
              </w:rPr>
              <w:t>314</w:t>
            </w:r>
          </w:p>
        </w:tc>
      </w:tr>
    </w:tbl>
    <w:p w14:paraId="294CB067" w14:textId="1F613F06" w:rsidR="004E0658" w:rsidRDefault="004E0658" w:rsidP="00B9798C">
      <w:pPr>
        <w:pStyle w:val="ListParagraph"/>
        <w:numPr>
          <w:ilvl w:val="0"/>
          <w:numId w:val="3"/>
        </w:numPr>
        <w:spacing w:before="240" w:after="240"/>
        <w:ind w:left="360"/>
        <w:rPr>
          <w:b/>
        </w:rPr>
      </w:pPr>
      <w:r>
        <w:rPr>
          <w:b/>
        </w:rPr>
        <w:t>CNPPID Irrigator Lease</w:t>
      </w:r>
    </w:p>
    <w:p w14:paraId="159902DE" w14:textId="426A75D3" w:rsidR="00EC452A" w:rsidRDefault="00C33E4C" w:rsidP="004E0658">
      <w:pPr>
        <w:pStyle w:val="ListParagraph"/>
        <w:spacing w:before="120" w:after="240"/>
        <w:ind w:left="0"/>
        <w:rPr>
          <w:szCs w:val="24"/>
        </w:rPr>
      </w:pPr>
      <w:r>
        <w:rPr>
          <w:szCs w:val="24"/>
        </w:rPr>
        <w:t xml:space="preserve">Beginning with the 2016 </w:t>
      </w:r>
      <w:r w:rsidR="00EC452A">
        <w:rPr>
          <w:szCs w:val="24"/>
        </w:rPr>
        <w:t>irrigation</w:t>
      </w:r>
      <w:r w:rsidR="00CC5697">
        <w:rPr>
          <w:szCs w:val="24"/>
        </w:rPr>
        <w:t xml:space="preserve"> season, the Program and CNPPID entered into a </w:t>
      </w:r>
      <w:r w:rsidR="00772DB9">
        <w:rPr>
          <w:szCs w:val="24"/>
        </w:rPr>
        <w:t>series</w:t>
      </w:r>
      <w:r w:rsidR="00CC5697">
        <w:rPr>
          <w:szCs w:val="24"/>
        </w:rPr>
        <w:t xml:space="preserve"> of agreements to lease </w:t>
      </w:r>
      <w:r w:rsidR="00EC452A">
        <w:rPr>
          <w:szCs w:val="24"/>
        </w:rPr>
        <w:t xml:space="preserve">water directly from irrigators within the CNPPID systems.  </w:t>
      </w:r>
      <w:r w:rsidR="00B4372F">
        <w:rPr>
          <w:szCs w:val="24"/>
        </w:rPr>
        <w:t xml:space="preserve">Irrigators agree to fallow or dryland farm designated parcels, which are typically </w:t>
      </w:r>
      <w:r w:rsidR="009B48D1">
        <w:rPr>
          <w:szCs w:val="24"/>
        </w:rPr>
        <w:t xml:space="preserve">odd-shaped or otherwise </w:t>
      </w:r>
      <w:r w:rsidR="00B4372F">
        <w:rPr>
          <w:szCs w:val="24"/>
        </w:rPr>
        <w:t xml:space="preserve">difficult to irrigate.  </w:t>
      </w:r>
      <w:r w:rsidR="00EC452A">
        <w:rPr>
          <w:szCs w:val="24"/>
        </w:rPr>
        <w:t xml:space="preserve">The project operated as a pilot program from 2016 to 2018, </w:t>
      </w:r>
      <w:r w:rsidR="0070391D">
        <w:rPr>
          <w:szCs w:val="24"/>
        </w:rPr>
        <w:t>after which</w:t>
      </w:r>
      <w:r w:rsidR="00EC452A">
        <w:rPr>
          <w:szCs w:val="24"/>
        </w:rPr>
        <w:t xml:space="preserve"> it was extended for 5 years through the 2023 irrigation season.  In order to carry out the project, the CNPPID must declare a full allocation, in which case individual irrigators cannot trade water amongst themselves and the Program is the only potential customer for water leasing.</w:t>
      </w:r>
      <w:r w:rsidR="00425E02">
        <w:rPr>
          <w:szCs w:val="24"/>
        </w:rPr>
        <w:t xml:space="preserve">  The Program pays a fee to the CNPPID to administer the irrigator leasing program.</w:t>
      </w:r>
      <w:r w:rsidR="00EC452A">
        <w:rPr>
          <w:szCs w:val="24"/>
        </w:rPr>
        <w:t xml:space="preserve">  </w:t>
      </w:r>
    </w:p>
    <w:p w14:paraId="7839C5AA" w14:textId="790376C1" w:rsidR="008130A9" w:rsidRDefault="00EC452A" w:rsidP="008130A9">
      <w:pPr>
        <w:pStyle w:val="ListParagraph"/>
        <w:spacing w:before="120" w:after="240"/>
        <w:ind w:left="0"/>
        <w:rPr>
          <w:b/>
          <w:sz w:val="22"/>
        </w:rPr>
      </w:pPr>
      <w:r>
        <w:rPr>
          <w:szCs w:val="24"/>
        </w:rPr>
        <w:t xml:space="preserve">For each acre enrolled in the irrigator lease program, the Program is credited with 9 inches (0.75 AF) in the Lake McConaughy EA, on or about October 1 following the end of the irrigation season.  </w:t>
      </w:r>
      <w:r w:rsidR="0065166B">
        <w:rPr>
          <w:szCs w:val="24"/>
        </w:rPr>
        <w:t>The annual enrollment cap was set at 3,000 acres starting with the 2019 irrigation season, and payment was consistent at $220/acre ($293/AF) each year through 2020</w:t>
      </w:r>
      <w:r>
        <w:rPr>
          <w:szCs w:val="24"/>
        </w:rPr>
        <w:t>.</w:t>
      </w:r>
      <w:r w:rsidR="00B13116">
        <w:rPr>
          <w:szCs w:val="24"/>
        </w:rPr>
        <w:t xml:space="preserve">  </w:t>
      </w:r>
      <w:r w:rsidR="00AD08B8" w:rsidRPr="00425E02">
        <w:rPr>
          <w:b/>
          <w:szCs w:val="24"/>
        </w:rPr>
        <w:t xml:space="preserve">Table </w:t>
      </w:r>
      <w:r w:rsidR="00E72742">
        <w:rPr>
          <w:b/>
          <w:szCs w:val="24"/>
        </w:rPr>
        <w:t>16</w:t>
      </w:r>
      <w:r w:rsidR="00E27C8F">
        <w:rPr>
          <w:szCs w:val="24"/>
        </w:rPr>
        <w:t xml:space="preserve"> </w:t>
      </w:r>
      <w:r w:rsidR="00AD08B8">
        <w:rPr>
          <w:szCs w:val="24"/>
        </w:rPr>
        <w:t>shows the acres enrolled and volume credited to the Lake McConaughy EA each year</w:t>
      </w:r>
      <w:r w:rsidR="00B13116">
        <w:rPr>
          <w:szCs w:val="24"/>
        </w:rPr>
        <w:t>.</w:t>
      </w:r>
      <w:r w:rsidR="00425E02">
        <w:rPr>
          <w:szCs w:val="24"/>
        </w:rPr>
        <w:t xml:space="preserve">  </w:t>
      </w:r>
      <w:r w:rsidR="008130A9">
        <w:rPr>
          <w:b/>
          <w:sz w:val="22"/>
        </w:rPr>
        <w:br w:type="page"/>
      </w:r>
    </w:p>
    <w:p w14:paraId="14CC60E2" w14:textId="4C23106B" w:rsidR="00721771" w:rsidRPr="00B04C8F" w:rsidRDefault="00721771" w:rsidP="00721771">
      <w:pPr>
        <w:pStyle w:val="ListParagraph"/>
        <w:spacing w:before="120"/>
        <w:ind w:left="0"/>
        <w:rPr>
          <w:b/>
          <w:sz w:val="22"/>
        </w:rPr>
      </w:pPr>
      <w:r w:rsidRPr="00B04C8F">
        <w:rPr>
          <w:b/>
          <w:sz w:val="22"/>
        </w:rPr>
        <w:lastRenderedPageBreak/>
        <w:t xml:space="preserve">Table </w:t>
      </w:r>
      <w:r w:rsidR="00E72742">
        <w:rPr>
          <w:b/>
          <w:sz w:val="22"/>
        </w:rPr>
        <w:t>16</w:t>
      </w:r>
      <w:r w:rsidRPr="00B04C8F">
        <w:rPr>
          <w:b/>
          <w:sz w:val="22"/>
        </w:rPr>
        <w:t>.  Enrollment</w:t>
      </w:r>
      <w:r w:rsidR="00B13116">
        <w:rPr>
          <w:b/>
          <w:sz w:val="22"/>
        </w:rPr>
        <w:t xml:space="preserve"> and Yield from </w:t>
      </w:r>
      <w:r w:rsidRPr="00B04C8F">
        <w:rPr>
          <w:b/>
          <w:sz w:val="22"/>
        </w:rPr>
        <w:t>CNPPID Irrigator Lease Program</w:t>
      </w:r>
      <w:r w:rsidR="00B13116">
        <w:rPr>
          <w:b/>
          <w:sz w:val="22"/>
        </w:rPr>
        <w:t>, 2016-2020</w:t>
      </w:r>
    </w:p>
    <w:tbl>
      <w:tblPr>
        <w:tblStyle w:val="TableGrid"/>
        <w:tblW w:w="0" w:type="auto"/>
        <w:tblLook w:val="04A0" w:firstRow="1" w:lastRow="0" w:firstColumn="1" w:lastColumn="0" w:noHBand="0" w:noVBand="1"/>
      </w:tblPr>
      <w:tblGrid>
        <w:gridCol w:w="2668"/>
        <w:gridCol w:w="2668"/>
        <w:gridCol w:w="2669"/>
      </w:tblGrid>
      <w:tr w:rsidR="00721771" w:rsidRPr="00B04C8F" w14:paraId="72F962FC" w14:textId="77777777" w:rsidTr="004C0203">
        <w:tc>
          <w:tcPr>
            <w:tcW w:w="2668" w:type="dxa"/>
            <w:shd w:val="clear" w:color="auto" w:fill="C2D69B" w:themeFill="accent3" w:themeFillTint="99"/>
            <w:vAlign w:val="bottom"/>
          </w:tcPr>
          <w:p w14:paraId="536255E1" w14:textId="25BC171F" w:rsidR="00721771" w:rsidRPr="00B04C8F" w:rsidRDefault="00721771" w:rsidP="004C0203">
            <w:pPr>
              <w:pStyle w:val="ListParagraph"/>
              <w:ind w:left="0"/>
              <w:jc w:val="center"/>
              <w:rPr>
                <w:b/>
                <w:sz w:val="22"/>
              </w:rPr>
            </w:pPr>
            <w:r w:rsidRPr="00B04C8F">
              <w:rPr>
                <w:b/>
                <w:sz w:val="22"/>
              </w:rPr>
              <w:t>Irrigation Season</w:t>
            </w:r>
          </w:p>
        </w:tc>
        <w:tc>
          <w:tcPr>
            <w:tcW w:w="2668" w:type="dxa"/>
            <w:shd w:val="clear" w:color="auto" w:fill="C2D69B" w:themeFill="accent3" w:themeFillTint="99"/>
            <w:vAlign w:val="bottom"/>
          </w:tcPr>
          <w:p w14:paraId="7E85781E" w14:textId="3C572FAF" w:rsidR="00721771" w:rsidRPr="00B04C8F" w:rsidRDefault="00721771" w:rsidP="004C0203">
            <w:pPr>
              <w:pStyle w:val="ListParagraph"/>
              <w:ind w:left="0"/>
              <w:jc w:val="center"/>
              <w:rPr>
                <w:b/>
                <w:sz w:val="22"/>
              </w:rPr>
            </w:pPr>
            <w:r w:rsidRPr="00B04C8F">
              <w:rPr>
                <w:b/>
                <w:sz w:val="22"/>
              </w:rPr>
              <w:t>Acres Enrolled</w:t>
            </w:r>
          </w:p>
        </w:tc>
        <w:tc>
          <w:tcPr>
            <w:tcW w:w="2669" w:type="dxa"/>
            <w:shd w:val="clear" w:color="auto" w:fill="C2D69B" w:themeFill="accent3" w:themeFillTint="99"/>
            <w:vAlign w:val="bottom"/>
          </w:tcPr>
          <w:p w14:paraId="1C98C4ED" w14:textId="2A32AF92" w:rsidR="00D70C11" w:rsidRPr="00B04C8F" w:rsidRDefault="00721771" w:rsidP="004C0203">
            <w:pPr>
              <w:pStyle w:val="ListParagraph"/>
              <w:ind w:left="0"/>
              <w:jc w:val="center"/>
              <w:rPr>
                <w:b/>
                <w:sz w:val="22"/>
              </w:rPr>
            </w:pPr>
            <w:r w:rsidRPr="00B04C8F">
              <w:rPr>
                <w:b/>
                <w:sz w:val="22"/>
              </w:rPr>
              <w:t>Volume Credited to Lake McConaughy EA</w:t>
            </w:r>
          </w:p>
          <w:p w14:paraId="615E1FDE" w14:textId="621D642C" w:rsidR="00721771" w:rsidRPr="00B04C8F" w:rsidRDefault="00721771" w:rsidP="004C0203">
            <w:pPr>
              <w:pStyle w:val="ListParagraph"/>
              <w:ind w:left="0"/>
              <w:jc w:val="center"/>
              <w:rPr>
                <w:b/>
                <w:sz w:val="22"/>
              </w:rPr>
            </w:pPr>
            <w:r w:rsidRPr="00B04C8F">
              <w:rPr>
                <w:b/>
                <w:sz w:val="22"/>
              </w:rPr>
              <w:t>(AF)</w:t>
            </w:r>
          </w:p>
        </w:tc>
      </w:tr>
      <w:tr w:rsidR="00721771" w:rsidRPr="00B04C8F" w14:paraId="5B63D7E9" w14:textId="77777777" w:rsidTr="00863733">
        <w:trPr>
          <w:trHeight w:val="288"/>
        </w:trPr>
        <w:tc>
          <w:tcPr>
            <w:tcW w:w="2668" w:type="dxa"/>
            <w:vAlign w:val="center"/>
          </w:tcPr>
          <w:p w14:paraId="6457477E" w14:textId="604F8086" w:rsidR="00721771" w:rsidRPr="00B04C8F" w:rsidRDefault="00721771" w:rsidP="00465569">
            <w:pPr>
              <w:pStyle w:val="ListParagraph"/>
              <w:ind w:left="0"/>
              <w:jc w:val="center"/>
              <w:rPr>
                <w:sz w:val="22"/>
              </w:rPr>
            </w:pPr>
            <w:r w:rsidRPr="00B04C8F">
              <w:rPr>
                <w:sz w:val="22"/>
              </w:rPr>
              <w:t>2016</w:t>
            </w:r>
          </w:p>
        </w:tc>
        <w:tc>
          <w:tcPr>
            <w:tcW w:w="2668" w:type="dxa"/>
            <w:vAlign w:val="center"/>
          </w:tcPr>
          <w:p w14:paraId="035EA6FC" w14:textId="4129343E" w:rsidR="00721771" w:rsidRPr="00B04C8F" w:rsidRDefault="00721771" w:rsidP="00465569">
            <w:pPr>
              <w:pStyle w:val="ListParagraph"/>
              <w:ind w:left="0"/>
              <w:jc w:val="center"/>
              <w:rPr>
                <w:sz w:val="22"/>
              </w:rPr>
            </w:pPr>
            <w:r w:rsidRPr="00B04C8F">
              <w:rPr>
                <w:sz w:val="22"/>
              </w:rPr>
              <w:t>1,037</w:t>
            </w:r>
          </w:p>
        </w:tc>
        <w:tc>
          <w:tcPr>
            <w:tcW w:w="2669" w:type="dxa"/>
            <w:vAlign w:val="center"/>
          </w:tcPr>
          <w:p w14:paraId="6138CED6" w14:textId="6975D9DE" w:rsidR="00721771" w:rsidRPr="00B04C8F" w:rsidRDefault="00721771" w:rsidP="00465569">
            <w:pPr>
              <w:pStyle w:val="ListParagraph"/>
              <w:ind w:left="0"/>
              <w:jc w:val="center"/>
              <w:rPr>
                <w:sz w:val="22"/>
              </w:rPr>
            </w:pPr>
            <w:r w:rsidRPr="00B04C8F">
              <w:rPr>
                <w:sz w:val="22"/>
              </w:rPr>
              <w:t>778</w:t>
            </w:r>
          </w:p>
        </w:tc>
      </w:tr>
      <w:tr w:rsidR="00721771" w:rsidRPr="00B04C8F" w14:paraId="0C030075" w14:textId="77777777" w:rsidTr="00863733">
        <w:trPr>
          <w:trHeight w:val="288"/>
        </w:trPr>
        <w:tc>
          <w:tcPr>
            <w:tcW w:w="2668" w:type="dxa"/>
            <w:vAlign w:val="center"/>
          </w:tcPr>
          <w:p w14:paraId="205EDC44" w14:textId="7F4B5B96" w:rsidR="00721771" w:rsidRPr="00B04C8F" w:rsidRDefault="00721771" w:rsidP="00465569">
            <w:pPr>
              <w:pStyle w:val="ListParagraph"/>
              <w:ind w:left="0"/>
              <w:jc w:val="center"/>
              <w:rPr>
                <w:sz w:val="22"/>
              </w:rPr>
            </w:pPr>
            <w:r w:rsidRPr="00B04C8F">
              <w:rPr>
                <w:sz w:val="22"/>
              </w:rPr>
              <w:t>2017</w:t>
            </w:r>
          </w:p>
        </w:tc>
        <w:tc>
          <w:tcPr>
            <w:tcW w:w="2668" w:type="dxa"/>
            <w:vAlign w:val="center"/>
          </w:tcPr>
          <w:p w14:paraId="7234CF47" w14:textId="675CAD44" w:rsidR="00721771" w:rsidRPr="00B04C8F" w:rsidRDefault="00721771" w:rsidP="00465569">
            <w:pPr>
              <w:pStyle w:val="ListParagraph"/>
              <w:ind w:left="0"/>
              <w:jc w:val="center"/>
              <w:rPr>
                <w:sz w:val="22"/>
              </w:rPr>
            </w:pPr>
            <w:r w:rsidRPr="00B04C8F">
              <w:rPr>
                <w:sz w:val="22"/>
              </w:rPr>
              <w:t>1,275</w:t>
            </w:r>
          </w:p>
        </w:tc>
        <w:tc>
          <w:tcPr>
            <w:tcW w:w="2669" w:type="dxa"/>
            <w:vAlign w:val="center"/>
          </w:tcPr>
          <w:p w14:paraId="6F00C7EF" w14:textId="3154D1AC" w:rsidR="00721771" w:rsidRPr="00B04C8F" w:rsidRDefault="00721771" w:rsidP="00465569">
            <w:pPr>
              <w:pStyle w:val="ListParagraph"/>
              <w:ind w:left="0"/>
              <w:jc w:val="center"/>
              <w:rPr>
                <w:sz w:val="22"/>
              </w:rPr>
            </w:pPr>
            <w:r w:rsidRPr="00B04C8F">
              <w:rPr>
                <w:sz w:val="22"/>
              </w:rPr>
              <w:t>956</w:t>
            </w:r>
          </w:p>
        </w:tc>
      </w:tr>
      <w:tr w:rsidR="00721771" w:rsidRPr="00B04C8F" w14:paraId="579BB9D3" w14:textId="77777777" w:rsidTr="00863733">
        <w:trPr>
          <w:trHeight w:val="288"/>
        </w:trPr>
        <w:tc>
          <w:tcPr>
            <w:tcW w:w="2668" w:type="dxa"/>
            <w:vAlign w:val="center"/>
          </w:tcPr>
          <w:p w14:paraId="6A3539E1" w14:textId="118F428D" w:rsidR="00721771" w:rsidRPr="00B04C8F" w:rsidRDefault="00721771" w:rsidP="00465569">
            <w:pPr>
              <w:pStyle w:val="ListParagraph"/>
              <w:ind w:left="0"/>
              <w:jc w:val="center"/>
              <w:rPr>
                <w:sz w:val="22"/>
              </w:rPr>
            </w:pPr>
            <w:r w:rsidRPr="00B04C8F">
              <w:rPr>
                <w:sz w:val="22"/>
              </w:rPr>
              <w:t>2018</w:t>
            </w:r>
          </w:p>
        </w:tc>
        <w:tc>
          <w:tcPr>
            <w:tcW w:w="2668" w:type="dxa"/>
            <w:vAlign w:val="center"/>
          </w:tcPr>
          <w:p w14:paraId="16FA617B" w14:textId="7FB0D942" w:rsidR="00721771" w:rsidRPr="00B04C8F" w:rsidRDefault="00721771" w:rsidP="00465569">
            <w:pPr>
              <w:pStyle w:val="ListParagraph"/>
              <w:ind w:left="0"/>
              <w:jc w:val="center"/>
              <w:rPr>
                <w:sz w:val="22"/>
              </w:rPr>
            </w:pPr>
            <w:r w:rsidRPr="00B04C8F">
              <w:rPr>
                <w:sz w:val="22"/>
              </w:rPr>
              <w:t>2,055</w:t>
            </w:r>
          </w:p>
        </w:tc>
        <w:tc>
          <w:tcPr>
            <w:tcW w:w="2669" w:type="dxa"/>
            <w:vAlign w:val="center"/>
          </w:tcPr>
          <w:p w14:paraId="1E7A5F03" w14:textId="2CFB0A69" w:rsidR="00721771" w:rsidRPr="00B04C8F" w:rsidRDefault="00721771" w:rsidP="00465569">
            <w:pPr>
              <w:pStyle w:val="ListParagraph"/>
              <w:ind w:left="0"/>
              <w:jc w:val="center"/>
              <w:rPr>
                <w:sz w:val="22"/>
              </w:rPr>
            </w:pPr>
            <w:r w:rsidRPr="00B04C8F">
              <w:rPr>
                <w:sz w:val="22"/>
              </w:rPr>
              <w:t>1,541</w:t>
            </w:r>
          </w:p>
        </w:tc>
      </w:tr>
      <w:tr w:rsidR="00465569" w:rsidRPr="00B04C8F" w14:paraId="1E4B219D" w14:textId="77777777" w:rsidTr="00863733">
        <w:trPr>
          <w:trHeight w:val="288"/>
        </w:trPr>
        <w:tc>
          <w:tcPr>
            <w:tcW w:w="2668" w:type="dxa"/>
            <w:vAlign w:val="center"/>
          </w:tcPr>
          <w:p w14:paraId="0FFD596D" w14:textId="4B2D5B4D" w:rsidR="00465569" w:rsidRPr="00465569" w:rsidRDefault="00465569" w:rsidP="00465569">
            <w:pPr>
              <w:pStyle w:val="ListParagraph"/>
              <w:ind w:left="0"/>
              <w:jc w:val="center"/>
              <w:rPr>
                <w:sz w:val="22"/>
              </w:rPr>
            </w:pPr>
            <w:r w:rsidRPr="00465569">
              <w:rPr>
                <w:color w:val="000000"/>
                <w:sz w:val="22"/>
              </w:rPr>
              <w:t>2019</w:t>
            </w:r>
          </w:p>
        </w:tc>
        <w:tc>
          <w:tcPr>
            <w:tcW w:w="2668" w:type="dxa"/>
            <w:vAlign w:val="center"/>
          </w:tcPr>
          <w:p w14:paraId="055C6DF6" w14:textId="261476A3" w:rsidR="00465569" w:rsidRPr="00465569" w:rsidRDefault="00465569" w:rsidP="00465569">
            <w:pPr>
              <w:pStyle w:val="ListParagraph"/>
              <w:ind w:left="0"/>
              <w:jc w:val="center"/>
              <w:rPr>
                <w:sz w:val="22"/>
              </w:rPr>
            </w:pPr>
            <w:r w:rsidRPr="00465569">
              <w:rPr>
                <w:color w:val="000000"/>
                <w:sz w:val="22"/>
              </w:rPr>
              <w:t>2,934</w:t>
            </w:r>
          </w:p>
        </w:tc>
        <w:tc>
          <w:tcPr>
            <w:tcW w:w="2669" w:type="dxa"/>
            <w:vAlign w:val="center"/>
          </w:tcPr>
          <w:p w14:paraId="45F33528" w14:textId="7A1800A3" w:rsidR="00465569" w:rsidRPr="00465569" w:rsidRDefault="00465569" w:rsidP="00465569">
            <w:pPr>
              <w:pStyle w:val="ListParagraph"/>
              <w:ind w:left="0"/>
              <w:jc w:val="center"/>
              <w:rPr>
                <w:sz w:val="22"/>
              </w:rPr>
            </w:pPr>
            <w:r w:rsidRPr="00465569">
              <w:rPr>
                <w:color w:val="000000"/>
                <w:sz w:val="22"/>
              </w:rPr>
              <w:t>2,201</w:t>
            </w:r>
          </w:p>
        </w:tc>
      </w:tr>
      <w:tr w:rsidR="00465569" w:rsidRPr="00B04C8F" w14:paraId="07506E83" w14:textId="77777777" w:rsidTr="00863733">
        <w:trPr>
          <w:trHeight w:val="288"/>
        </w:trPr>
        <w:tc>
          <w:tcPr>
            <w:tcW w:w="2668" w:type="dxa"/>
            <w:vAlign w:val="center"/>
          </w:tcPr>
          <w:p w14:paraId="1D352204" w14:textId="05DD5A9D" w:rsidR="00465569" w:rsidRPr="00465569" w:rsidRDefault="00465569" w:rsidP="00465569">
            <w:pPr>
              <w:pStyle w:val="ListParagraph"/>
              <w:ind w:left="0"/>
              <w:jc w:val="center"/>
              <w:rPr>
                <w:sz w:val="22"/>
              </w:rPr>
            </w:pPr>
            <w:r w:rsidRPr="00465569">
              <w:rPr>
                <w:color w:val="000000"/>
                <w:sz w:val="22"/>
              </w:rPr>
              <w:t>2020</w:t>
            </w:r>
          </w:p>
        </w:tc>
        <w:tc>
          <w:tcPr>
            <w:tcW w:w="2668" w:type="dxa"/>
            <w:vAlign w:val="center"/>
          </w:tcPr>
          <w:p w14:paraId="1A66A668" w14:textId="17E9F402" w:rsidR="00465569" w:rsidRPr="00465569" w:rsidRDefault="00465569" w:rsidP="00465569">
            <w:pPr>
              <w:pStyle w:val="ListParagraph"/>
              <w:ind w:left="0"/>
              <w:jc w:val="center"/>
              <w:rPr>
                <w:sz w:val="22"/>
              </w:rPr>
            </w:pPr>
            <w:r w:rsidRPr="00465569">
              <w:rPr>
                <w:color w:val="000000"/>
                <w:sz w:val="22"/>
              </w:rPr>
              <w:t>2,989</w:t>
            </w:r>
          </w:p>
        </w:tc>
        <w:tc>
          <w:tcPr>
            <w:tcW w:w="2669" w:type="dxa"/>
            <w:vAlign w:val="center"/>
          </w:tcPr>
          <w:p w14:paraId="6F0AAB09" w14:textId="0542A255" w:rsidR="00465569" w:rsidRPr="00465569" w:rsidRDefault="00465569" w:rsidP="00465569">
            <w:pPr>
              <w:pStyle w:val="ListParagraph"/>
              <w:ind w:left="0"/>
              <w:jc w:val="center"/>
              <w:rPr>
                <w:sz w:val="22"/>
              </w:rPr>
            </w:pPr>
            <w:r w:rsidRPr="00465569">
              <w:rPr>
                <w:color w:val="000000"/>
                <w:sz w:val="22"/>
              </w:rPr>
              <w:t>2,242</w:t>
            </w:r>
          </w:p>
        </w:tc>
      </w:tr>
      <w:tr w:rsidR="00465569" w:rsidRPr="00B04C8F" w14:paraId="7D87F62C" w14:textId="77777777" w:rsidTr="00863733">
        <w:trPr>
          <w:trHeight w:val="288"/>
        </w:trPr>
        <w:tc>
          <w:tcPr>
            <w:tcW w:w="2668" w:type="dxa"/>
            <w:shd w:val="clear" w:color="auto" w:fill="BFBFBF" w:themeFill="background1" w:themeFillShade="BF"/>
            <w:vAlign w:val="center"/>
          </w:tcPr>
          <w:p w14:paraId="0376A08E" w14:textId="685A53CB" w:rsidR="00465569" w:rsidRPr="00465569" w:rsidRDefault="00465569" w:rsidP="00465569">
            <w:pPr>
              <w:pStyle w:val="ListParagraph"/>
              <w:ind w:left="0"/>
              <w:jc w:val="center"/>
              <w:rPr>
                <w:sz w:val="22"/>
              </w:rPr>
            </w:pPr>
            <w:r w:rsidRPr="00465569">
              <w:rPr>
                <w:b/>
                <w:bCs/>
                <w:color w:val="000000"/>
                <w:sz w:val="22"/>
              </w:rPr>
              <w:t>Average</w:t>
            </w:r>
          </w:p>
        </w:tc>
        <w:tc>
          <w:tcPr>
            <w:tcW w:w="2668" w:type="dxa"/>
            <w:shd w:val="clear" w:color="auto" w:fill="BFBFBF" w:themeFill="background1" w:themeFillShade="BF"/>
            <w:vAlign w:val="center"/>
          </w:tcPr>
          <w:p w14:paraId="78FA081A" w14:textId="6C4D866F" w:rsidR="00465569" w:rsidRPr="00465569" w:rsidRDefault="00465569" w:rsidP="00465569">
            <w:pPr>
              <w:pStyle w:val="ListParagraph"/>
              <w:ind w:left="0"/>
              <w:jc w:val="center"/>
              <w:rPr>
                <w:sz w:val="22"/>
              </w:rPr>
            </w:pPr>
            <w:r w:rsidRPr="00465569">
              <w:rPr>
                <w:b/>
                <w:bCs/>
                <w:color w:val="000000"/>
                <w:sz w:val="22"/>
              </w:rPr>
              <w:t>2,058</w:t>
            </w:r>
          </w:p>
        </w:tc>
        <w:tc>
          <w:tcPr>
            <w:tcW w:w="2669" w:type="dxa"/>
            <w:shd w:val="clear" w:color="auto" w:fill="BFBFBF" w:themeFill="background1" w:themeFillShade="BF"/>
            <w:vAlign w:val="center"/>
          </w:tcPr>
          <w:p w14:paraId="2B15C735" w14:textId="752B3B8B" w:rsidR="00465569" w:rsidRPr="00465569" w:rsidRDefault="00465569" w:rsidP="00465569">
            <w:pPr>
              <w:pStyle w:val="ListParagraph"/>
              <w:ind w:left="0"/>
              <w:jc w:val="center"/>
              <w:rPr>
                <w:sz w:val="22"/>
              </w:rPr>
            </w:pPr>
            <w:r w:rsidRPr="00465569">
              <w:rPr>
                <w:b/>
                <w:bCs/>
                <w:color w:val="000000"/>
                <w:sz w:val="22"/>
              </w:rPr>
              <w:t>1,544</w:t>
            </w:r>
          </w:p>
        </w:tc>
      </w:tr>
    </w:tbl>
    <w:p w14:paraId="7D15474D" w14:textId="0D04D179" w:rsidR="004E0658" w:rsidRDefault="004E0658" w:rsidP="00B9798C">
      <w:pPr>
        <w:pStyle w:val="ListParagraph"/>
        <w:numPr>
          <w:ilvl w:val="0"/>
          <w:numId w:val="3"/>
        </w:numPr>
        <w:spacing w:before="240" w:after="240"/>
        <w:ind w:left="360"/>
        <w:rPr>
          <w:b/>
        </w:rPr>
      </w:pPr>
      <w:r>
        <w:rPr>
          <w:b/>
        </w:rPr>
        <w:t xml:space="preserve">CPNRD </w:t>
      </w:r>
      <w:r w:rsidR="00E334CA">
        <w:rPr>
          <w:b/>
        </w:rPr>
        <w:t xml:space="preserve">and NPPD </w:t>
      </w:r>
      <w:r w:rsidR="00146806">
        <w:rPr>
          <w:b/>
        </w:rPr>
        <w:t xml:space="preserve">Surface Water </w:t>
      </w:r>
      <w:r w:rsidR="003C0252">
        <w:rPr>
          <w:b/>
        </w:rPr>
        <w:t>Lease</w:t>
      </w:r>
      <w:r w:rsidR="00E334CA">
        <w:rPr>
          <w:b/>
        </w:rPr>
        <w:t>s</w:t>
      </w:r>
    </w:p>
    <w:p w14:paraId="64AE7DFB" w14:textId="4876EBA1" w:rsidR="001C3D11" w:rsidRDefault="0070328A" w:rsidP="00E72742">
      <w:r>
        <w:t>Under the provisions of a December 2013 water use lease agreement</w:t>
      </w:r>
      <w:r w:rsidR="00AC1921">
        <w:rPr>
          <w:rStyle w:val="FootnoteReference"/>
          <w:szCs w:val="24"/>
        </w:rPr>
        <w:footnoteReference w:id="20"/>
      </w:r>
      <w:r>
        <w:t>, the CPNRD committed to provide up to 20,500 AF per year</w:t>
      </w:r>
      <w:r>
        <w:rPr>
          <w:rStyle w:val="FootnoteReference"/>
          <w:szCs w:val="24"/>
        </w:rPr>
        <w:footnoteReference w:id="21"/>
      </w:r>
      <w:r>
        <w:t xml:space="preserve"> to the Program through a combination of transferred surface water and accretions from groundwater recharge in the Thirty Mile, Cozad, and Orchard-Alfalfa canals.  The </w:t>
      </w:r>
      <w:r w:rsidR="005C2AE6">
        <w:t>agreement specifie</w:t>
      </w:r>
      <w:r w:rsidR="00C86A16">
        <w:t>d</w:t>
      </w:r>
      <w:r w:rsidR="008761F2">
        <w:t xml:space="preserve"> that the source of the transferred surface water </w:t>
      </w:r>
      <w:r w:rsidR="00C86A16">
        <w:t xml:space="preserve">was </w:t>
      </w:r>
      <w:r w:rsidR="005C2AE6">
        <w:t>existing natural flow water rights held by the three canals for irrigation purposes, made available from irrigated lands that relinquish</w:t>
      </w:r>
      <w:r w:rsidR="00C86A16">
        <w:t>ed</w:t>
      </w:r>
      <w:r w:rsidR="005C2AE6">
        <w:t xml:space="preserve"> surface water supplies and instead irrigate</w:t>
      </w:r>
      <w:r w:rsidR="00C86A16">
        <w:t>d</w:t>
      </w:r>
      <w:r w:rsidR="005C2AE6">
        <w:t xml:space="preserve"> with groundwater pumped from existing wells.  </w:t>
      </w:r>
    </w:p>
    <w:p w14:paraId="216968DD" w14:textId="77777777" w:rsidR="001C3D11" w:rsidRDefault="001C3D11" w:rsidP="00E72742"/>
    <w:p w14:paraId="675FDA52" w14:textId="4F114852" w:rsidR="00A8494F" w:rsidRDefault="005C2AE6" w:rsidP="00E72742">
      <w:r>
        <w:t xml:space="preserve">For the first three years of project operations, beginning in 2015, CPNRD calculated the net volume of transferrable surface water based on analyses of crop consumptive use and the depletions </w:t>
      </w:r>
      <w:r w:rsidR="0022707C">
        <w:t>resulting from the switch to groundwater pumping.</w:t>
      </w:r>
      <w:r w:rsidR="00B65A45">
        <w:t xml:space="preserve">  Invoiced transfer volumes were 15,718 AF in 2015; 15,777 AF in 2016; and 13,759 AF in 2017.  During the irrigation season, a</w:t>
      </w:r>
      <w:r w:rsidR="0022707C">
        <w:t>vailable natural flow water was diverted and measured at the canal headgates, and appropriate volumes were immediately returned to the river in real time.  This occurred regardless of whether the river was in excess or shortage relative to USFWS target flows, producing a scenario</w:t>
      </w:r>
      <w:r w:rsidR="00C86A16">
        <w:t xml:space="preserve"> </w:t>
      </w:r>
      <w:r w:rsidR="0022707C">
        <w:t xml:space="preserve">in which the Program was paying for significantly larger volumes of transferred surface water than actually served to reduce </w:t>
      </w:r>
      <w:r w:rsidR="00AF1D64">
        <w:t xml:space="preserve">real-time </w:t>
      </w:r>
      <w:r w:rsidR="0022707C">
        <w:t>target flow deficits</w:t>
      </w:r>
      <w:r w:rsidR="00C86A16">
        <w:rPr>
          <w:rStyle w:val="FootnoteReference"/>
          <w:szCs w:val="24"/>
        </w:rPr>
        <w:footnoteReference w:id="22"/>
      </w:r>
      <w:r w:rsidR="00C86A16">
        <w:t>.</w:t>
      </w:r>
      <w:r w:rsidR="0022707C">
        <w:t xml:space="preserve">   </w:t>
      </w:r>
      <w:r w:rsidR="0070328A">
        <w:t xml:space="preserve"> </w:t>
      </w:r>
    </w:p>
    <w:p w14:paraId="03B8B0FA" w14:textId="5F6A1F51" w:rsidR="0070328A" w:rsidRDefault="0070328A" w:rsidP="00E72742"/>
    <w:p w14:paraId="076FD585" w14:textId="70764BA5" w:rsidR="00146806" w:rsidRDefault="00CF4020" w:rsidP="00E72742">
      <w:r>
        <w:t xml:space="preserve">To make better use of the transferred surface water, the approach was modified in 2018 through implementation of a “pilot exchange project” in which natural flow water to which the CPNRD canals are entitled was not delivered to the canals (i.e., </w:t>
      </w:r>
      <w:r w:rsidR="00A727A4">
        <w:t xml:space="preserve">it was </w:t>
      </w:r>
      <w:r w:rsidR="00AC1454">
        <w:t>retained</w:t>
      </w:r>
      <w:r>
        <w:t xml:space="preserve"> in </w:t>
      </w:r>
      <w:r w:rsidR="00B35ED0">
        <w:t>Lake McConaughy</w:t>
      </w:r>
      <w:r>
        <w:t xml:space="preserve">) and credited to the Lake McConaughy EA following the end of the irrigation season. </w:t>
      </w:r>
      <w:r w:rsidR="00BA2DB9">
        <w:t xml:space="preserve"> </w:t>
      </w:r>
      <w:r>
        <w:t xml:space="preserve">This pilot </w:t>
      </w:r>
      <w:r>
        <w:lastRenderedPageBreak/>
        <w:t>exchange project was executed under a Memorandum of Understanding (MOU) between</w:t>
      </w:r>
      <w:r w:rsidR="0059380B">
        <w:t xml:space="preserve"> </w:t>
      </w:r>
      <w:r>
        <w:t xml:space="preserve">CNPPID and CPNRD and with approval from the NDNR.  The Program’s water use lease agreement with CPNRD was also amended to accommodate </w:t>
      </w:r>
      <w:r w:rsidR="00146806">
        <w:t>the crediting of transferred surface water to the Lake McConaughy EA.</w:t>
      </w:r>
      <w:r w:rsidR="0059380B">
        <w:t xml:space="preserve">  The CPNRD surface water lease has continued with the same approach in subsequent years under successive one-year agreements.  </w:t>
      </w:r>
      <w:r w:rsidR="0059380B" w:rsidRPr="0059380B">
        <w:rPr>
          <w:b/>
          <w:bCs/>
        </w:rPr>
        <w:t xml:space="preserve">Table </w:t>
      </w:r>
      <w:r w:rsidR="00E72742">
        <w:rPr>
          <w:b/>
          <w:bCs/>
        </w:rPr>
        <w:t>17</w:t>
      </w:r>
      <w:r w:rsidR="0059380B">
        <w:t xml:space="preserve"> shows the volumes credited to the Lake McConaughy EA from each of the three CPNRD canals and in total for the years 2018-2020.  </w:t>
      </w:r>
      <w:r w:rsidR="00146806">
        <w:t xml:space="preserve">  </w:t>
      </w:r>
    </w:p>
    <w:p w14:paraId="1FE9B832" w14:textId="239F066B" w:rsidR="00146806" w:rsidRDefault="00146806" w:rsidP="00E72742"/>
    <w:p w14:paraId="26C5FD28" w14:textId="70A30285" w:rsidR="007F41A2" w:rsidRPr="00840950" w:rsidRDefault="007F41A2" w:rsidP="00E72742">
      <w:pPr>
        <w:rPr>
          <w:b/>
          <w:bCs/>
          <w:sz w:val="22"/>
        </w:rPr>
      </w:pPr>
      <w:r w:rsidRPr="00840950">
        <w:rPr>
          <w:b/>
          <w:bCs/>
          <w:sz w:val="22"/>
        </w:rPr>
        <w:t xml:space="preserve">Table </w:t>
      </w:r>
      <w:r w:rsidR="00E72742">
        <w:rPr>
          <w:b/>
          <w:bCs/>
          <w:sz w:val="22"/>
        </w:rPr>
        <w:t>17</w:t>
      </w:r>
      <w:r w:rsidRPr="00840950">
        <w:rPr>
          <w:b/>
          <w:bCs/>
          <w:sz w:val="22"/>
        </w:rPr>
        <w:t xml:space="preserve">.  </w:t>
      </w:r>
      <w:r w:rsidR="0059380B" w:rsidRPr="00840950">
        <w:rPr>
          <w:b/>
          <w:bCs/>
          <w:sz w:val="22"/>
        </w:rPr>
        <w:t xml:space="preserve">Yield from </w:t>
      </w:r>
      <w:r w:rsidRPr="00840950">
        <w:rPr>
          <w:b/>
          <w:bCs/>
          <w:sz w:val="22"/>
        </w:rPr>
        <w:t>CPNRD Surface Water Lease</w:t>
      </w:r>
      <w:r w:rsidR="0059380B" w:rsidRPr="00840950">
        <w:rPr>
          <w:b/>
          <w:bCs/>
          <w:sz w:val="22"/>
        </w:rPr>
        <w:t>, 2018-2020</w:t>
      </w:r>
    </w:p>
    <w:tbl>
      <w:tblPr>
        <w:tblStyle w:val="TableGrid"/>
        <w:tblW w:w="0" w:type="auto"/>
        <w:tblLook w:val="04A0" w:firstRow="1" w:lastRow="0" w:firstColumn="1" w:lastColumn="0" w:noHBand="0" w:noVBand="1"/>
      </w:tblPr>
      <w:tblGrid>
        <w:gridCol w:w="1558"/>
        <w:gridCol w:w="1558"/>
        <w:gridCol w:w="1558"/>
        <w:gridCol w:w="1558"/>
        <w:gridCol w:w="1559"/>
        <w:gridCol w:w="1559"/>
      </w:tblGrid>
      <w:tr w:rsidR="007F41A2" w14:paraId="41216581" w14:textId="77777777" w:rsidTr="004C0203">
        <w:tc>
          <w:tcPr>
            <w:tcW w:w="1558" w:type="dxa"/>
            <w:vMerge w:val="restart"/>
            <w:shd w:val="clear" w:color="auto" w:fill="C2D69B" w:themeFill="accent3" w:themeFillTint="99"/>
            <w:vAlign w:val="bottom"/>
          </w:tcPr>
          <w:p w14:paraId="142B03FD" w14:textId="587DED12" w:rsidR="007F41A2" w:rsidRPr="00FD2767" w:rsidRDefault="007F41A2" w:rsidP="004C0203">
            <w:pPr>
              <w:pStyle w:val="ListParagraph"/>
              <w:ind w:left="0"/>
              <w:jc w:val="center"/>
              <w:rPr>
                <w:b/>
                <w:bCs/>
                <w:sz w:val="22"/>
              </w:rPr>
            </w:pPr>
            <w:r w:rsidRPr="00FD2767">
              <w:rPr>
                <w:b/>
                <w:bCs/>
                <w:sz w:val="22"/>
              </w:rPr>
              <w:t>Year</w:t>
            </w:r>
          </w:p>
        </w:tc>
        <w:tc>
          <w:tcPr>
            <w:tcW w:w="1558" w:type="dxa"/>
            <w:vMerge w:val="restart"/>
            <w:shd w:val="clear" w:color="auto" w:fill="C2D69B" w:themeFill="accent3" w:themeFillTint="99"/>
            <w:vAlign w:val="bottom"/>
          </w:tcPr>
          <w:p w14:paraId="5144B3B6" w14:textId="6B7404DD" w:rsidR="007F41A2" w:rsidRPr="00FD2767" w:rsidRDefault="007F41A2" w:rsidP="004C0203">
            <w:pPr>
              <w:pStyle w:val="ListParagraph"/>
              <w:ind w:left="0"/>
              <w:jc w:val="center"/>
              <w:rPr>
                <w:b/>
                <w:bCs/>
                <w:sz w:val="22"/>
              </w:rPr>
            </w:pPr>
            <w:r w:rsidRPr="00FD2767">
              <w:rPr>
                <w:b/>
                <w:bCs/>
                <w:sz w:val="22"/>
              </w:rPr>
              <w:t>Combined Acres Enrolled</w:t>
            </w:r>
          </w:p>
        </w:tc>
        <w:tc>
          <w:tcPr>
            <w:tcW w:w="6234" w:type="dxa"/>
            <w:gridSpan w:val="4"/>
            <w:shd w:val="clear" w:color="auto" w:fill="C2D69B" w:themeFill="accent3" w:themeFillTint="99"/>
            <w:vAlign w:val="bottom"/>
          </w:tcPr>
          <w:p w14:paraId="6837D634" w14:textId="330D475F" w:rsidR="007F41A2" w:rsidRPr="00FD2767" w:rsidRDefault="007F41A2" w:rsidP="004C0203">
            <w:pPr>
              <w:pStyle w:val="ListParagraph"/>
              <w:ind w:left="0"/>
              <w:jc w:val="center"/>
              <w:rPr>
                <w:b/>
                <w:bCs/>
                <w:sz w:val="22"/>
              </w:rPr>
            </w:pPr>
            <w:r w:rsidRPr="00FD2767">
              <w:rPr>
                <w:b/>
                <w:bCs/>
                <w:sz w:val="22"/>
              </w:rPr>
              <w:t>Volume Credited to Lake McConaughy EA</w:t>
            </w:r>
          </w:p>
        </w:tc>
      </w:tr>
      <w:tr w:rsidR="007F41A2" w14:paraId="28EBD9C6" w14:textId="77777777" w:rsidTr="004C0203">
        <w:tc>
          <w:tcPr>
            <w:tcW w:w="1558" w:type="dxa"/>
            <w:vMerge/>
            <w:shd w:val="clear" w:color="auto" w:fill="C2D69B" w:themeFill="accent3" w:themeFillTint="99"/>
            <w:vAlign w:val="bottom"/>
          </w:tcPr>
          <w:p w14:paraId="393FCCD2" w14:textId="77777777" w:rsidR="007F41A2" w:rsidRPr="00FD2767" w:rsidRDefault="007F41A2" w:rsidP="004C0203">
            <w:pPr>
              <w:pStyle w:val="ListParagraph"/>
              <w:ind w:left="0"/>
              <w:jc w:val="center"/>
              <w:rPr>
                <w:b/>
                <w:bCs/>
                <w:sz w:val="22"/>
              </w:rPr>
            </w:pPr>
          </w:p>
        </w:tc>
        <w:tc>
          <w:tcPr>
            <w:tcW w:w="1558" w:type="dxa"/>
            <w:vMerge/>
            <w:shd w:val="clear" w:color="auto" w:fill="C2D69B" w:themeFill="accent3" w:themeFillTint="99"/>
            <w:vAlign w:val="bottom"/>
          </w:tcPr>
          <w:p w14:paraId="5FA16EA7" w14:textId="77777777" w:rsidR="007F41A2" w:rsidRPr="00FD2767" w:rsidRDefault="007F41A2" w:rsidP="004C0203">
            <w:pPr>
              <w:pStyle w:val="ListParagraph"/>
              <w:ind w:left="0"/>
              <w:jc w:val="center"/>
              <w:rPr>
                <w:b/>
                <w:bCs/>
                <w:sz w:val="22"/>
              </w:rPr>
            </w:pPr>
          </w:p>
        </w:tc>
        <w:tc>
          <w:tcPr>
            <w:tcW w:w="1558" w:type="dxa"/>
            <w:shd w:val="clear" w:color="auto" w:fill="C2D69B" w:themeFill="accent3" w:themeFillTint="99"/>
            <w:vAlign w:val="bottom"/>
          </w:tcPr>
          <w:p w14:paraId="04BE1E17" w14:textId="77777777" w:rsidR="007F41A2" w:rsidRPr="00FD2767" w:rsidRDefault="007F41A2" w:rsidP="004C0203">
            <w:pPr>
              <w:pStyle w:val="ListParagraph"/>
              <w:ind w:left="0"/>
              <w:jc w:val="center"/>
              <w:rPr>
                <w:b/>
                <w:bCs/>
                <w:sz w:val="22"/>
              </w:rPr>
            </w:pPr>
            <w:r w:rsidRPr="00FD2767">
              <w:rPr>
                <w:b/>
                <w:bCs/>
                <w:sz w:val="22"/>
              </w:rPr>
              <w:t>Thirty Mile</w:t>
            </w:r>
          </w:p>
          <w:p w14:paraId="4F1ED8C1" w14:textId="4DDB37BD" w:rsidR="007F41A2" w:rsidRPr="00FD2767" w:rsidRDefault="007F41A2" w:rsidP="004C0203">
            <w:pPr>
              <w:pStyle w:val="ListParagraph"/>
              <w:ind w:left="0"/>
              <w:jc w:val="center"/>
              <w:rPr>
                <w:b/>
                <w:bCs/>
                <w:sz w:val="22"/>
              </w:rPr>
            </w:pPr>
            <w:r w:rsidRPr="00FD2767">
              <w:rPr>
                <w:b/>
                <w:bCs/>
                <w:sz w:val="22"/>
              </w:rPr>
              <w:t>(AF)</w:t>
            </w:r>
          </w:p>
        </w:tc>
        <w:tc>
          <w:tcPr>
            <w:tcW w:w="1558" w:type="dxa"/>
            <w:shd w:val="clear" w:color="auto" w:fill="C2D69B" w:themeFill="accent3" w:themeFillTint="99"/>
            <w:vAlign w:val="bottom"/>
          </w:tcPr>
          <w:p w14:paraId="54939BC0" w14:textId="77777777" w:rsidR="007F41A2" w:rsidRPr="00FD2767" w:rsidRDefault="007F41A2" w:rsidP="004C0203">
            <w:pPr>
              <w:pStyle w:val="ListParagraph"/>
              <w:ind w:left="0"/>
              <w:jc w:val="center"/>
              <w:rPr>
                <w:b/>
                <w:bCs/>
                <w:sz w:val="22"/>
              </w:rPr>
            </w:pPr>
            <w:r w:rsidRPr="00FD2767">
              <w:rPr>
                <w:b/>
                <w:bCs/>
                <w:sz w:val="22"/>
              </w:rPr>
              <w:t>Cozad</w:t>
            </w:r>
          </w:p>
          <w:p w14:paraId="6D6E4704" w14:textId="26B7BD74" w:rsidR="007F41A2" w:rsidRPr="00FD2767" w:rsidRDefault="007F41A2" w:rsidP="004C0203">
            <w:pPr>
              <w:pStyle w:val="ListParagraph"/>
              <w:ind w:left="0"/>
              <w:jc w:val="center"/>
              <w:rPr>
                <w:b/>
                <w:bCs/>
                <w:sz w:val="22"/>
              </w:rPr>
            </w:pPr>
            <w:r w:rsidRPr="00FD2767">
              <w:rPr>
                <w:b/>
                <w:bCs/>
                <w:sz w:val="22"/>
              </w:rPr>
              <w:t>(AF)</w:t>
            </w:r>
          </w:p>
        </w:tc>
        <w:tc>
          <w:tcPr>
            <w:tcW w:w="1559" w:type="dxa"/>
            <w:shd w:val="clear" w:color="auto" w:fill="C2D69B" w:themeFill="accent3" w:themeFillTint="99"/>
            <w:vAlign w:val="bottom"/>
          </w:tcPr>
          <w:p w14:paraId="285A073E" w14:textId="77777777" w:rsidR="007F41A2" w:rsidRPr="00FD2767" w:rsidRDefault="007F41A2" w:rsidP="004C0203">
            <w:pPr>
              <w:pStyle w:val="ListParagraph"/>
              <w:ind w:left="0"/>
              <w:jc w:val="center"/>
              <w:rPr>
                <w:b/>
                <w:bCs/>
                <w:sz w:val="22"/>
              </w:rPr>
            </w:pPr>
            <w:r w:rsidRPr="00FD2767">
              <w:rPr>
                <w:b/>
                <w:bCs/>
                <w:sz w:val="22"/>
              </w:rPr>
              <w:t>Orchard-Alfalfa</w:t>
            </w:r>
          </w:p>
          <w:p w14:paraId="3AA75BAA" w14:textId="1B26DEE1" w:rsidR="007F41A2" w:rsidRPr="00FD2767" w:rsidRDefault="007F41A2" w:rsidP="004C0203">
            <w:pPr>
              <w:pStyle w:val="ListParagraph"/>
              <w:ind w:left="0"/>
              <w:jc w:val="center"/>
              <w:rPr>
                <w:b/>
                <w:bCs/>
                <w:sz w:val="22"/>
              </w:rPr>
            </w:pPr>
            <w:r w:rsidRPr="00FD2767">
              <w:rPr>
                <w:b/>
                <w:bCs/>
                <w:sz w:val="22"/>
              </w:rPr>
              <w:t>(AF)</w:t>
            </w:r>
          </w:p>
        </w:tc>
        <w:tc>
          <w:tcPr>
            <w:tcW w:w="1559" w:type="dxa"/>
            <w:shd w:val="clear" w:color="auto" w:fill="C2D69B" w:themeFill="accent3" w:themeFillTint="99"/>
            <w:vAlign w:val="bottom"/>
          </w:tcPr>
          <w:p w14:paraId="58B1C0E2" w14:textId="26A66C78" w:rsidR="007F41A2" w:rsidRPr="00FD2767" w:rsidRDefault="007F41A2" w:rsidP="004C0203">
            <w:pPr>
              <w:pStyle w:val="ListParagraph"/>
              <w:ind w:left="0"/>
              <w:jc w:val="center"/>
              <w:rPr>
                <w:b/>
                <w:bCs/>
                <w:sz w:val="22"/>
              </w:rPr>
            </w:pPr>
            <w:r w:rsidRPr="00FD2767">
              <w:rPr>
                <w:b/>
                <w:bCs/>
                <w:sz w:val="22"/>
              </w:rPr>
              <w:t>Total</w:t>
            </w:r>
          </w:p>
          <w:p w14:paraId="4174624C" w14:textId="6890D094" w:rsidR="007F41A2" w:rsidRPr="00FD2767" w:rsidRDefault="007F41A2" w:rsidP="004C0203">
            <w:pPr>
              <w:pStyle w:val="ListParagraph"/>
              <w:ind w:left="0"/>
              <w:jc w:val="center"/>
              <w:rPr>
                <w:b/>
                <w:bCs/>
                <w:sz w:val="22"/>
              </w:rPr>
            </w:pPr>
            <w:r w:rsidRPr="00FD2767">
              <w:rPr>
                <w:b/>
                <w:bCs/>
                <w:sz w:val="22"/>
              </w:rPr>
              <w:t>(AF)</w:t>
            </w:r>
          </w:p>
        </w:tc>
      </w:tr>
      <w:tr w:rsidR="007F41A2" w14:paraId="3B7797A9" w14:textId="77777777" w:rsidTr="00B22D55">
        <w:trPr>
          <w:trHeight w:val="288"/>
        </w:trPr>
        <w:tc>
          <w:tcPr>
            <w:tcW w:w="1558" w:type="dxa"/>
            <w:vAlign w:val="center"/>
          </w:tcPr>
          <w:p w14:paraId="7B0E4470" w14:textId="333812B6" w:rsidR="007F41A2" w:rsidRPr="007F41A2" w:rsidRDefault="007F41A2" w:rsidP="007F41A2">
            <w:pPr>
              <w:pStyle w:val="ListParagraph"/>
              <w:ind w:left="0"/>
              <w:jc w:val="center"/>
              <w:rPr>
                <w:sz w:val="22"/>
              </w:rPr>
            </w:pPr>
            <w:r w:rsidRPr="007F41A2">
              <w:rPr>
                <w:color w:val="000000"/>
                <w:sz w:val="22"/>
              </w:rPr>
              <w:t>2018</w:t>
            </w:r>
          </w:p>
        </w:tc>
        <w:tc>
          <w:tcPr>
            <w:tcW w:w="1558" w:type="dxa"/>
            <w:vAlign w:val="center"/>
          </w:tcPr>
          <w:p w14:paraId="6D646FC6" w14:textId="0932A6AA" w:rsidR="007F41A2" w:rsidRPr="007F41A2" w:rsidRDefault="007F41A2" w:rsidP="007F41A2">
            <w:pPr>
              <w:pStyle w:val="ListParagraph"/>
              <w:ind w:left="0"/>
              <w:jc w:val="center"/>
              <w:rPr>
                <w:sz w:val="22"/>
              </w:rPr>
            </w:pPr>
            <w:r w:rsidRPr="007F41A2">
              <w:rPr>
                <w:color w:val="000000"/>
                <w:sz w:val="22"/>
              </w:rPr>
              <w:t>28,502.2</w:t>
            </w:r>
          </w:p>
        </w:tc>
        <w:tc>
          <w:tcPr>
            <w:tcW w:w="1558" w:type="dxa"/>
            <w:vAlign w:val="center"/>
          </w:tcPr>
          <w:p w14:paraId="4120FF22" w14:textId="7730735D" w:rsidR="007F41A2" w:rsidRPr="007F41A2" w:rsidRDefault="007F41A2" w:rsidP="007F41A2">
            <w:pPr>
              <w:pStyle w:val="ListParagraph"/>
              <w:ind w:left="0"/>
              <w:jc w:val="center"/>
              <w:rPr>
                <w:sz w:val="22"/>
              </w:rPr>
            </w:pPr>
            <w:r w:rsidRPr="007F41A2">
              <w:rPr>
                <w:color w:val="000000"/>
                <w:sz w:val="22"/>
              </w:rPr>
              <w:t>5,996</w:t>
            </w:r>
          </w:p>
        </w:tc>
        <w:tc>
          <w:tcPr>
            <w:tcW w:w="1558" w:type="dxa"/>
            <w:vAlign w:val="center"/>
          </w:tcPr>
          <w:p w14:paraId="29E88D1A" w14:textId="18C6AC0D" w:rsidR="007F41A2" w:rsidRPr="007F41A2" w:rsidRDefault="007F41A2" w:rsidP="007F41A2">
            <w:pPr>
              <w:pStyle w:val="ListParagraph"/>
              <w:ind w:left="0"/>
              <w:jc w:val="center"/>
              <w:rPr>
                <w:sz w:val="22"/>
              </w:rPr>
            </w:pPr>
            <w:r w:rsidRPr="007F41A2">
              <w:rPr>
                <w:color w:val="000000"/>
                <w:sz w:val="22"/>
              </w:rPr>
              <w:t>6,748</w:t>
            </w:r>
          </w:p>
        </w:tc>
        <w:tc>
          <w:tcPr>
            <w:tcW w:w="1559" w:type="dxa"/>
            <w:vAlign w:val="center"/>
          </w:tcPr>
          <w:p w14:paraId="5979D870" w14:textId="18C32C8B" w:rsidR="007F41A2" w:rsidRPr="007F41A2" w:rsidRDefault="007F41A2" w:rsidP="007F41A2">
            <w:pPr>
              <w:pStyle w:val="ListParagraph"/>
              <w:ind w:left="0"/>
              <w:jc w:val="center"/>
              <w:rPr>
                <w:sz w:val="22"/>
              </w:rPr>
            </w:pPr>
            <w:r w:rsidRPr="007F41A2">
              <w:rPr>
                <w:color w:val="000000"/>
                <w:sz w:val="22"/>
              </w:rPr>
              <w:t>1,507</w:t>
            </w:r>
          </w:p>
        </w:tc>
        <w:tc>
          <w:tcPr>
            <w:tcW w:w="1559" w:type="dxa"/>
            <w:vAlign w:val="center"/>
          </w:tcPr>
          <w:p w14:paraId="32713128" w14:textId="12907E5B" w:rsidR="007F41A2" w:rsidRPr="007F41A2" w:rsidRDefault="007F41A2" w:rsidP="007F41A2">
            <w:pPr>
              <w:pStyle w:val="ListParagraph"/>
              <w:ind w:left="0"/>
              <w:jc w:val="center"/>
              <w:rPr>
                <w:sz w:val="22"/>
              </w:rPr>
            </w:pPr>
            <w:r w:rsidRPr="007F41A2">
              <w:rPr>
                <w:color w:val="000000"/>
                <w:sz w:val="22"/>
              </w:rPr>
              <w:t>14,251</w:t>
            </w:r>
          </w:p>
        </w:tc>
      </w:tr>
      <w:tr w:rsidR="007F41A2" w14:paraId="72562102" w14:textId="77777777" w:rsidTr="00B22D55">
        <w:trPr>
          <w:trHeight w:val="288"/>
        </w:trPr>
        <w:tc>
          <w:tcPr>
            <w:tcW w:w="1558" w:type="dxa"/>
            <w:vAlign w:val="center"/>
          </w:tcPr>
          <w:p w14:paraId="7601F6D9" w14:textId="4C4C22D4" w:rsidR="007F41A2" w:rsidRPr="007F41A2" w:rsidRDefault="007F41A2" w:rsidP="007F41A2">
            <w:pPr>
              <w:pStyle w:val="ListParagraph"/>
              <w:ind w:left="0"/>
              <w:jc w:val="center"/>
              <w:rPr>
                <w:sz w:val="22"/>
              </w:rPr>
            </w:pPr>
            <w:r w:rsidRPr="007F41A2">
              <w:rPr>
                <w:color w:val="000000"/>
                <w:sz w:val="22"/>
              </w:rPr>
              <w:t>2019</w:t>
            </w:r>
          </w:p>
        </w:tc>
        <w:tc>
          <w:tcPr>
            <w:tcW w:w="1558" w:type="dxa"/>
            <w:vAlign w:val="center"/>
          </w:tcPr>
          <w:p w14:paraId="4467D579" w14:textId="1FE0FA95" w:rsidR="007F41A2" w:rsidRPr="007F41A2" w:rsidRDefault="007F41A2" w:rsidP="007F41A2">
            <w:pPr>
              <w:pStyle w:val="ListParagraph"/>
              <w:ind w:left="0"/>
              <w:jc w:val="center"/>
              <w:rPr>
                <w:sz w:val="22"/>
              </w:rPr>
            </w:pPr>
            <w:r w:rsidRPr="007F41A2">
              <w:rPr>
                <w:color w:val="000000"/>
                <w:sz w:val="22"/>
              </w:rPr>
              <w:t>28,191.4</w:t>
            </w:r>
          </w:p>
        </w:tc>
        <w:tc>
          <w:tcPr>
            <w:tcW w:w="1558" w:type="dxa"/>
            <w:vAlign w:val="center"/>
          </w:tcPr>
          <w:p w14:paraId="5E75597F" w14:textId="14F9D842" w:rsidR="007F41A2" w:rsidRPr="007F41A2" w:rsidRDefault="007F41A2" w:rsidP="007F41A2">
            <w:pPr>
              <w:pStyle w:val="ListParagraph"/>
              <w:ind w:left="0"/>
              <w:jc w:val="center"/>
              <w:rPr>
                <w:sz w:val="22"/>
              </w:rPr>
            </w:pPr>
            <w:r w:rsidRPr="007F41A2">
              <w:rPr>
                <w:color w:val="000000"/>
                <w:sz w:val="22"/>
              </w:rPr>
              <w:t>6,018</w:t>
            </w:r>
          </w:p>
        </w:tc>
        <w:tc>
          <w:tcPr>
            <w:tcW w:w="1558" w:type="dxa"/>
            <w:vAlign w:val="center"/>
          </w:tcPr>
          <w:p w14:paraId="56F75578" w14:textId="4FEA234F" w:rsidR="007F41A2" w:rsidRPr="007F41A2" w:rsidRDefault="007F41A2" w:rsidP="007F41A2">
            <w:pPr>
              <w:pStyle w:val="ListParagraph"/>
              <w:ind w:left="0"/>
              <w:jc w:val="center"/>
              <w:rPr>
                <w:sz w:val="22"/>
              </w:rPr>
            </w:pPr>
            <w:r w:rsidRPr="007F41A2">
              <w:rPr>
                <w:color w:val="000000"/>
                <w:sz w:val="22"/>
              </w:rPr>
              <w:t>6,568</w:t>
            </w:r>
          </w:p>
        </w:tc>
        <w:tc>
          <w:tcPr>
            <w:tcW w:w="1559" w:type="dxa"/>
            <w:vAlign w:val="center"/>
          </w:tcPr>
          <w:p w14:paraId="6996D1DB" w14:textId="6459648A" w:rsidR="007F41A2" w:rsidRPr="007F41A2" w:rsidRDefault="007F41A2" w:rsidP="007F41A2">
            <w:pPr>
              <w:pStyle w:val="ListParagraph"/>
              <w:ind w:left="0"/>
              <w:jc w:val="center"/>
              <w:rPr>
                <w:sz w:val="22"/>
              </w:rPr>
            </w:pPr>
            <w:r w:rsidRPr="007F41A2">
              <w:rPr>
                <w:color w:val="000000"/>
                <w:sz w:val="22"/>
              </w:rPr>
              <w:t>1,510</w:t>
            </w:r>
          </w:p>
        </w:tc>
        <w:tc>
          <w:tcPr>
            <w:tcW w:w="1559" w:type="dxa"/>
            <w:vAlign w:val="center"/>
          </w:tcPr>
          <w:p w14:paraId="59FDA2A9" w14:textId="5472EFFA" w:rsidR="007F41A2" w:rsidRPr="007F41A2" w:rsidRDefault="007F41A2" w:rsidP="007F41A2">
            <w:pPr>
              <w:pStyle w:val="ListParagraph"/>
              <w:ind w:left="0"/>
              <w:jc w:val="center"/>
              <w:rPr>
                <w:sz w:val="22"/>
              </w:rPr>
            </w:pPr>
            <w:r w:rsidRPr="007F41A2">
              <w:rPr>
                <w:color w:val="000000"/>
                <w:sz w:val="22"/>
              </w:rPr>
              <w:t>14,096</w:t>
            </w:r>
          </w:p>
        </w:tc>
      </w:tr>
      <w:tr w:rsidR="007F41A2" w14:paraId="5247B7B5" w14:textId="77777777" w:rsidTr="00B22D55">
        <w:trPr>
          <w:trHeight w:val="288"/>
        </w:trPr>
        <w:tc>
          <w:tcPr>
            <w:tcW w:w="1558" w:type="dxa"/>
            <w:vAlign w:val="center"/>
          </w:tcPr>
          <w:p w14:paraId="6D3D2DFA" w14:textId="586D2E99" w:rsidR="007F41A2" w:rsidRPr="007F41A2" w:rsidRDefault="007F41A2" w:rsidP="007F41A2">
            <w:pPr>
              <w:pStyle w:val="ListParagraph"/>
              <w:ind w:left="0"/>
              <w:jc w:val="center"/>
              <w:rPr>
                <w:sz w:val="22"/>
              </w:rPr>
            </w:pPr>
            <w:r w:rsidRPr="007F41A2">
              <w:rPr>
                <w:color w:val="000000"/>
                <w:sz w:val="22"/>
              </w:rPr>
              <w:t>2020</w:t>
            </w:r>
          </w:p>
        </w:tc>
        <w:tc>
          <w:tcPr>
            <w:tcW w:w="1558" w:type="dxa"/>
            <w:vAlign w:val="center"/>
          </w:tcPr>
          <w:p w14:paraId="5F19D185" w14:textId="6FA1892F" w:rsidR="007F41A2" w:rsidRPr="007F41A2" w:rsidRDefault="007F41A2" w:rsidP="007F41A2">
            <w:pPr>
              <w:pStyle w:val="ListParagraph"/>
              <w:ind w:left="0"/>
              <w:jc w:val="center"/>
              <w:rPr>
                <w:sz w:val="22"/>
              </w:rPr>
            </w:pPr>
            <w:r w:rsidRPr="007F41A2">
              <w:rPr>
                <w:color w:val="000000"/>
                <w:sz w:val="22"/>
              </w:rPr>
              <w:t>28,144.9</w:t>
            </w:r>
          </w:p>
        </w:tc>
        <w:tc>
          <w:tcPr>
            <w:tcW w:w="1558" w:type="dxa"/>
            <w:vAlign w:val="center"/>
          </w:tcPr>
          <w:p w14:paraId="7C87C556" w14:textId="2318B59B" w:rsidR="007F41A2" w:rsidRPr="007F41A2" w:rsidRDefault="007F41A2" w:rsidP="007F41A2">
            <w:pPr>
              <w:pStyle w:val="ListParagraph"/>
              <w:ind w:left="0"/>
              <w:jc w:val="center"/>
              <w:rPr>
                <w:sz w:val="22"/>
              </w:rPr>
            </w:pPr>
            <w:r w:rsidRPr="007F41A2">
              <w:rPr>
                <w:color w:val="000000"/>
                <w:sz w:val="22"/>
              </w:rPr>
              <w:t>6,095</w:t>
            </w:r>
          </w:p>
        </w:tc>
        <w:tc>
          <w:tcPr>
            <w:tcW w:w="1558" w:type="dxa"/>
            <w:vAlign w:val="center"/>
          </w:tcPr>
          <w:p w14:paraId="7FAA7544" w14:textId="05FBB395" w:rsidR="007F41A2" w:rsidRPr="007F41A2" w:rsidRDefault="007F41A2" w:rsidP="007F41A2">
            <w:pPr>
              <w:pStyle w:val="ListParagraph"/>
              <w:ind w:left="0"/>
              <w:jc w:val="center"/>
              <w:rPr>
                <w:sz w:val="22"/>
              </w:rPr>
            </w:pPr>
            <w:r w:rsidRPr="007F41A2">
              <w:rPr>
                <w:color w:val="000000"/>
                <w:sz w:val="22"/>
              </w:rPr>
              <w:t>6,465</w:t>
            </w:r>
          </w:p>
        </w:tc>
        <w:tc>
          <w:tcPr>
            <w:tcW w:w="1559" w:type="dxa"/>
            <w:vAlign w:val="center"/>
          </w:tcPr>
          <w:p w14:paraId="4961A9D0" w14:textId="24251E6B" w:rsidR="007F41A2" w:rsidRPr="007F41A2" w:rsidRDefault="007F41A2" w:rsidP="007F41A2">
            <w:pPr>
              <w:pStyle w:val="ListParagraph"/>
              <w:ind w:left="0"/>
              <w:jc w:val="center"/>
              <w:rPr>
                <w:sz w:val="22"/>
              </w:rPr>
            </w:pPr>
            <w:r w:rsidRPr="007F41A2">
              <w:rPr>
                <w:color w:val="000000"/>
                <w:sz w:val="22"/>
              </w:rPr>
              <w:t>1,513</w:t>
            </w:r>
          </w:p>
        </w:tc>
        <w:tc>
          <w:tcPr>
            <w:tcW w:w="1559" w:type="dxa"/>
            <w:vAlign w:val="center"/>
          </w:tcPr>
          <w:p w14:paraId="42BC70FF" w14:textId="3F0CA6B1" w:rsidR="007F41A2" w:rsidRPr="007F41A2" w:rsidRDefault="007F41A2" w:rsidP="007F41A2">
            <w:pPr>
              <w:pStyle w:val="ListParagraph"/>
              <w:ind w:left="0"/>
              <w:jc w:val="center"/>
              <w:rPr>
                <w:sz w:val="22"/>
              </w:rPr>
            </w:pPr>
            <w:r w:rsidRPr="007F41A2">
              <w:rPr>
                <w:color w:val="000000"/>
                <w:sz w:val="22"/>
              </w:rPr>
              <w:t>14,073</w:t>
            </w:r>
          </w:p>
        </w:tc>
      </w:tr>
      <w:tr w:rsidR="007F41A2" w14:paraId="6BDE006A" w14:textId="77777777" w:rsidTr="00B22D55">
        <w:trPr>
          <w:trHeight w:val="288"/>
        </w:trPr>
        <w:tc>
          <w:tcPr>
            <w:tcW w:w="1558" w:type="dxa"/>
            <w:shd w:val="clear" w:color="auto" w:fill="BFBFBF" w:themeFill="background1" w:themeFillShade="BF"/>
            <w:vAlign w:val="center"/>
          </w:tcPr>
          <w:p w14:paraId="245F8920" w14:textId="6363BA80" w:rsidR="007F41A2" w:rsidRPr="007F41A2" w:rsidRDefault="007F41A2" w:rsidP="007F41A2">
            <w:pPr>
              <w:pStyle w:val="ListParagraph"/>
              <w:ind w:left="0"/>
              <w:jc w:val="center"/>
              <w:rPr>
                <w:sz w:val="22"/>
              </w:rPr>
            </w:pPr>
            <w:r w:rsidRPr="007F41A2">
              <w:rPr>
                <w:b/>
                <w:bCs/>
                <w:color w:val="000000"/>
                <w:sz w:val="22"/>
              </w:rPr>
              <w:t>Average</w:t>
            </w:r>
          </w:p>
        </w:tc>
        <w:tc>
          <w:tcPr>
            <w:tcW w:w="1558" w:type="dxa"/>
            <w:shd w:val="clear" w:color="auto" w:fill="BFBFBF" w:themeFill="background1" w:themeFillShade="BF"/>
            <w:vAlign w:val="center"/>
          </w:tcPr>
          <w:p w14:paraId="001C5976" w14:textId="03F6B76A" w:rsidR="007F41A2" w:rsidRPr="007F41A2" w:rsidRDefault="007F41A2" w:rsidP="007F41A2">
            <w:pPr>
              <w:pStyle w:val="ListParagraph"/>
              <w:ind w:left="0"/>
              <w:jc w:val="center"/>
              <w:rPr>
                <w:sz w:val="22"/>
              </w:rPr>
            </w:pPr>
            <w:r w:rsidRPr="007F41A2">
              <w:rPr>
                <w:b/>
                <w:bCs/>
                <w:color w:val="000000"/>
                <w:sz w:val="22"/>
              </w:rPr>
              <w:t>28,279.5</w:t>
            </w:r>
          </w:p>
        </w:tc>
        <w:tc>
          <w:tcPr>
            <w:tcW w:w="1558" w:type="dxa"/>
            <w:shd w:val="clear" w:color="auto" w:fill="BFBFBF" w:themeFill="background1" w:themeFillShade="BF"/>
            <w:vAlign w:val="center"/>
          </w:tcPr>
          <w:p w14:paraId="5AA0A642" w14:textId="2AE71B1A" w:rsidR="007F41A2" w:rsidRPr="007F41A2" w:rsidRDefault="007F41A2" w:rsidP="007F41A2">
            <w:pPr>
              <w:pStyle w:val="ListParagraph"/>
              <w:ind w:left="0"/>
              <w:jc w:val="center"/>
              <w:rPr>
                <w:sz w:val="22"/>
              </w:rPr>
            </w:pPr>
            <w:r w:rsidRPr="007F41A2">
              <w:rPr>
                <w:color w:val="000000"/>
                <w:sz w:val="22"/>
              </w:rPr>
              <w:t>6,036</w:t>
            </w:r>
          </w:p>
        </w:tc>
        <w:tc>
          <w:tcPr>
            <w:tcW w:w="1558" w:type="dxa"/>
            <w:shd w:val="clear" w:color="auto" w:fill="BFBFBF" w:themeFill="background1" w:themeFillShade="BF"/>
            <w:vAlign w:val="center"/>
          </w:tcPr>
          <w:p w14:paraId="60171A20" w14:textId="7F0773C2" w:rsidR="007F41A2" w:rsidRPr="007F41A2" w:rsidRDefault="007F41A2" w:rsidP="007F41A2">
            <w:pPr>
              <w:pStyle w:val="ListParagraph"/>
              <w:ind w:left="0"/>
              <w:jc w:val="center"/>
              <w:rPr>
                <w:sz w:val="22"/>
              </w:rPr>
            </w:pPr>
            <w:r w:rsidRPr="007F41A2">
              <w:rPr>
                <w:color w:val="000000"/>
                <w:sz w:val="22"/>
              </w:rPr>
              <w:t>6,594</w:t>
            </w:r>
          </w:p>
        </w:tc>
        <w:tc>
          <w:tcPr>
            <w:tcW w:w="1559" w:type="dxa"/>
            <w:shd w:val="clear" w:color="auto" w:fill="BFBFBF" w:themeFill="background1" w:themeFillShade="BF"/>
            <w:vAlign w:val="center"/>
          </w:tcPr>
          <w:p w14:paraId="71523848" w14:textId="5BF0C5F9" w:rsidR="007F41A2" w:rsidRPr="007F41A2" w:rsidRDefault="007F41A2" w:rsidP="007F41A2">
            <w:pPr>
              <w:pStyle w:val="ListParagraph"/>
              <w:ind w:left="0"/>
              <w:jc w:val="center"/>
              <w:rPr>
                <w:sz w:val="22"/>
              </w:rPr>
            </w:pPr>
            <w:r w:rsidRPr="007F41A2">
              <w:rPr>
                <w:color w:val="000000"/>
                <w:sz w:val="22"/>
              </w:rPr>
              <w:t>1,510</w:t>
            </w:r>
          </w:p>
        </w:tc>
        <w:tc>
          <w:tcPr>
            <w:tcW w:w="1559" w:type="dxa"/>
            <w:shd w:val="clear" w:color="auto" w:fill="BFBFBF" w:themeFill="background1" w:themeFillShade="BF"/>
            <w:vAlign w:val="center"/>
          </w:tcPr>
          <w:p w14:paraId="7A460941" w14:textId="3EE7BBE5" w:rsidR="007F41A2" w:rsidRPr="007F41A2" w:rsidRDefault="007F41A2" w:rsidP="007F41A2">
            <w:pPr>
              <w:pStyle w:val="ListParagraph"/>
              <w:ind w:left="0"/>
              <w:jc w:val="center"/>
              <w:rPr>
                <w:sz w:val="22"/>
              </w:rPr>
            </w:pPr>
            <w:r w:rsidRPr="007F41A2">
              <w:rPr>
                <w:b/>
                <w:bCs/>
                <w:color w:val="000000"/>
                <w:sz w:val="22"/>
              </w:rPr>
              <w:t>14,140</w:t>
            </w:r>
          </w:p>
        </w:tc>
      </w:tr>
    </w:tbl>
    <w:p w14:paraId="70254D70" w14:textId="24B41041" w:rsidR="007F41A2" w:rsidRDefault="007F41A2" w:rsidP="00E72742"/>
    <w:p w14:paraId="7CB5F2DB" w14:textId="1EB1C5AF" w:rsidR="007F41A2" w:rsidRDefault="00372810" w:rsidP="00E72742">
      <w:r>
        <w:t>Following the successful implementation of the CPNRD “pilot exchange project” in 2018, a virtually identical lease was initiated with NPPD in 2019</w:t>
      </w:r>
      <w:r w:rsidR="00EC1A99">
        <w:t xml:space="preserve"> for surface water from the Gothenburg and Dawson County canals</w:t>
      </w:r>
      <w:r>
        <w:t xml:space="preserve">.  Likewise, the NPPD surface water lease has been conducted under annual one-year agreements.  </w:t>
      </w:r>
      <w:r w:rsidRPr="00372810">
        <w:rPr>
          <w:b/>
          <w:bCs/>
        </w:rPr>
        <w:t xml:space="preserve">Table </w:t>
      </w:r>
      <w:r w:rsidR="00E72742">
        <w:rPr>
          <w:b/>
          <w:bCs/>
        </w:rPr>
        <w:t>18</w:t>
      </w:r>
      <w:r>
        <w:t xml:space="preserve"> shows credits to the Lake McConaughy EA from the first two years of the NPPD surface water lease.</w:t>
      </w:r>
    </w:p>
    <w:p w14:paraId="682B29A6" w14:textId="77777777" w:rsidR="00372810" w:rsidRDefault="00372810" w:rsidP="00E72742"/>
    <w:p w14:paraId="0B7E9530" w14:textId="2A4E5CB4" w:rsidR="00FD2767" w:rsidRPr="00840950" w:rsidRDefault="00FD2767" w:rsidP="00E72742">
      <w:pPr>
        <w:rPr>
          <w:b/>
          <w:bCs/>
          <w:sz w:val="22"/>
        </w:rPr>
      </w:pPr>
      <w:r w:rsidRPr="00840950">
        <w:rPr>
          <w:b/>
          <w:bCs/>
          <w:sz w:val="22"/>
        </w:rPr>
        <w:t xml:space="preserve">Table </w:t>
      </w:r>
      <w:r w:rsidR="00E72742">
        <w:rPr>
          <w:b/>
          <w:bCs/>
          <w:sz w:val="22"/>
        </w:rPr>
        <w:t>18</w:t>
      </w:r>
      <w:r w:rsidRPr="00840950">
        <w:rPr>
          <w:b/>
          <w:bCs/>
          <w:sz w:val="22"/>
        </w:rPr>
        <w:t>.</w:t>
      </w:r>
      <w:r w:rsidR="00372810" w:rsidRPr="00840950">
        <w:rPr>
          <w:b/>
          <w:bCs/>
          <w:sz w:val="22"/>
        </w:rPr>
        <w:t xml:space="preserve">  Yield from</w:t>
      </w:r>
      <w:r w:rsidRPr="00840950">
        <w:rPr>
          <w:b/>
          <w:bCs/>
          <w:sz w:val="22"/>
        </w:rPr>
        <w:t xml:space="preserve"> NPPD Surface Water Lease</w:t>
      </w:r>
      <w:r w:rsidR="00372810" w:rsidRPr="00840950">
        <w:rPr>
          <w:b/>
          <w:bCs/>
          <w:sz w:val="22"/>
        </w:rPr>
        <w:t>, 2019-2020</w:t>
      </w:r>
    </w:p>
    <w:tbl>
      <w:tblPr>
        <w:tblStyle w:val="TableGrid"/>
        <w:tblW w:w="0" w:type="auto"/>
        <w:tblLook w:val="04A0" w:firstRow="1" w:lastRow="0" w:firstColumn="1" w:lastColumn="0" w:noHBand="0" w:noVBand="1"/>
      </w:tblPr>
      <w:tblGrid>
        <w:gridCol w:w="3116"/>
        <w:gridCol w:w="3117"/>
        <w:gridCol w:w="3117"/>
      </w:tblGrid>
      <w:tr w:rsidR="00FD2767" w14:paraId="50563716" w14:textId="77777777" w:rsidTr="004C0203">
        <w:tc>
          <w:tcPr>
            <w:tcW w:w="3116" w:type="dxa"/>
            <w:shd w:val="clear" w:color="auto" w:fill="C2D69B" w:themeFill="accent3" w:themeFillTint="99"/>
            <w:vAlign w:val="bottom"/>
          </w:tcPr>
          <w:p w14:paraId="57925878" w14:textId="4339297D" w:rsidR="00FD2767" w:rsidRPr="00FD2767" w:rsidRDefault="00FD2767" w:rsidP="004C0203">
            <w:pPr>
              <w:pStyle w:val="ListParagraph"/>
              <w:ind w:left="0"/>
              <w:jc w:val="center"/>
              <w:rPr>
                <w:b/>
                <w:bCs/>
                <w:sz w:val="22"/>
              </w:rPr>
            </w:pPr>
            <w:r w:rsidRPr="00FD2767">
              <w:rPr>
                <w:b/>
                <w:bCs/>
                <w:sz w:val="22"/>
              </w:rPr>
              <w:t>Year</w:t>
            </w:r>
          </w:p>
        </w:tc>
        <w:tc>
          <w:tcPr>
            <w:tcW w:w="3117" w:type="dxa"/>
            <w:shd w:val="clear" w:color="auto" w:fill="C2D69B" w:themeFill="accent3" w:themeFillTint="99"/>
            <w:vAlign w:val="bottom"/>
          </w:tcPr>
          <w:p w14:paraId="2458CB56" w14:textId="14D09805" w:rsidR="00FD2767" w:rsidRPr="00FD2767" w:rsidRDefault="00FD2767" w:rsidP="004C0203">
            <w:pPr>
              <w:pStyle w:val="ListParagraph"/>
              <w:ind w:left="0"/>
              <w:jc w:val="center"/>
              <w:rPr>
                <w:b/>
                <w:bCs/>
                <w:sz w:val="22"/>
              </w:rPr>
            </w:pPr>
            <w:r w:rsidRPr="00FD2767">
              <w:rPr>
                <w:b/>
                <w:bCs/>
                <w:sz w:val="22"/>
              </w:rPr>
              <w:t>Acres Enrolled</w:t>
            </w:r>
          </w:p>
        </w:tc>
        <w:tc>
          <w:tcPr>
            <w:tcW w:w="3117" w:type="dxa"/>
            <w:shd w:val="clear" w:color="auto" w:fill="C2D69B" w:themeFill="accent3" w:themeFillTint="99"/>
            <w:vAlign w:val="bottom"/>
          </w:tcPr>
          <w:p w14:paraId="6BEFAB31" w14:textId="75B9B039" w:rsidR="00FD2767" w:rsidRPr="00FD2767" w:rsidRDefault="00FD2767" w:rsidP="004C0203">
            <w:pPr>
              <w:pStyle w:val="ListParagraph"/>
              <w:ind w:left="0"/>
              <w:jc w:val="center"/>
              <w:rPr>
                <w:b/>
                <w:bCs/>
                <w:sz w:val="22"/>
              </w:rPr>
            </w:pPr>
            <w:r w:rsidRPr="00FD2767">
              <w:rPr>
                <w:b/>
                <w:bCs/>
                <w:sz w:val="22"/>
              </w:rPr>
              <w:t>Volume Credited to Lake McConaughy EA</w:t>
            </w:r>
          </w:p>
          <w:p w14:paraId="7D7D709D" w14:textId="6D7FB9B1" w:rsidR="00FD2767" w:rsidRPr="00FD2767" w:rsidRDefault="00FD2767" w:rsidP="004C0203">
            <w:pPr>
              <w:pStyle w:val="ListParagraph"/>
              <w:ind w:left="0"/>
              <w:jc w:val="center"/>
              <w:rPr>
                <w:b/>
                <w:bCs/>
                <w:sz w:val="22"/>
              </w:rPr>
            </w:pPr>
            <w:r w:rsidRPr="00FD2767">
              <w:rPr>
                <w:b/>
                <w:bCs/>
                <w:sz w:val="22"/>
              </w:rPr>
              <w:t>(AF)</w:t>
            </w:r>
          </w:p>
        </w:tc>
      </w:tr>
      <w:tr w:rsidR="00FD2767" w14:paraId="1B1B93F7" w14:textId="77777777" w:rsidTr="00FD2767">
        <w:trPr>
          <w:trHeight w:val="288"/>
        </w:trPr>
        <w:tc>
          <w:tcPr>
            <w:tcW w:w="3116" w:type="dxa"/>
            <w:vAlign w:val="center"/>
          </w:tcPr>
          <w:p w14:paraId="168C312B" w14:textId="2FB46589" w:rsidR="00FD2767" w:rsidRPr="00FD2767" w:rsidRDefault="00FD2767" w:rsidP="00FD2767">
            <w:pPr>
              <w:pStyle w:val="ListParagraph"/>
              <w:ind w:left="0"/>
              <w:jc w:val="center"/>
              <w:rPr>
                <w:sz w:val="22"/>
              </w:rPr>
            </w:pPr>
            <w:r w:rsidRPr="00FD2767">
              <w:rPr>
                <w:color w:val="000000"/>
                <w:sz w:val="22"/>
              </w:rPr>
              <w:t>2019</w:t>
            </w:r>
          </w:p>
        </w:tc>
        <w:tc>
          <w:tcPr>
            <w:tcW w:w="3117" w:type="dxa"/>
            <w:vAlign w:val="center"/>
          </w:tcPr>
          <w:p w14:paraId="1B4700DC" w14:textId="36A7FA55" w:rsidR="00FD2767" w:rsidRPr="00FD2767" w:rsidRDefault="00FD2767" w:rsidP="00FD2767">
            <w:pPr>
              <w:pStyle w:val="ListParagraph"/>
              <w:ind w:left="0"/>
              <w:jc w:val="center"/>
              <w:rPr>
                <w:sz w:val="22"/>
              </w:rPr>
            </w:pPr>
            <w:r w:rsidRPr="00FD2767">
              <w:rPr>
                <w:color w:val="000000"/>
                <w:sz w:val="22"/>
              </w:rPr>
              <w:t>6,243.2</w:t>
            </w:r>
          </w:p>
        </w:tc>
        <w:tc>
          <w:tcPr>
            <w:tcW w:w="3117" w:type="dxa"/>
            <w:vAlign w:val="center"/>
          </w:tcPr>
          <w:p w14:paraId="0DF8C148" w14:textId="653B663E" w:rsidR="00FD2767" w:rsidRPr="00FD2767" w:rsidRDefault="00FD2767" w:rsidP="00FD2767">
            <w:pPr>
              <w:pStyle w:val="ListParagraph"/>
              <w:ind w:left="0"/>
              <w:jc w:val="center"/>
              <w:rPr>
                <w:sz w:val="22"/>
              </w:rPr>
            </w:pPr>
            <w:r w:rsidRPr="00FD2767">
              <w:rPr>
                <w:color w:val="000000"/>
                <w:sz w:val="22"/>
              </w:rPr>
              <w:t>3,121</w:t>
            </w:r>
          </w:p>
        </w:tc>
      </w:tr>
      <w:tr w:rsidR="00FD2767" w14:paraId="6469DB1D" w14:textId="77777777" w:rsidTr="00FD2767">
        <w:trPr>
          <w:trHeight w:val="288"/>
        </w:trPr>
        <w:tc>
          <w:tcPr>
            <w:tcW w:w="3116" w:type="dxa"/>
            <w:vAlign w:val="center"/>
          </w:tcPr>
          <w:p w14:paraId="0C083609" w14:textId="32CE50C9" w:rsidR="00FD2767" w:rsidRPr="00FD2767" w:rsidRDefault="00FD2767" w:rsidP="00FD2767">
            <w:pPr>
              <w:pStyle w:val="ListParagraph"/>
              <w:ind w:left="0"/>
              <w:jc w:val="center"/>
              <w:rPr>
                <w:sz w:val="22"/>
              </w:rPr>
            </w:pPr>
            <w:r w:rsidRPr="00FD2767">
              <w:rPr>
                <w:color w:val="000000"/>
                <w:sz w:val="22"/>
              </w:rPr>
              <w:t>2020</w:t>
            </w:r>
          </w:p>
        </w:tc>
        <w:tc>
          <w:tcPr>
            <w:tcW w:w="3117" w:type="dxa"/>
            <w:vAlign w:val="center"/>
          </w:tcPr>
          <w:p w14:paraId="320DBFCD" w14:textId="2FFDF6F4" w:rsidR="00FD2767" w:rsidRPr="00FD2767" w:rsidRDefault="00FD2767" w:rsidP="00FD2767">
            <w:pPr>
              <w:pStyle w:val="ListParagraph"/>
              <w:ind w:left="0"/>
              <w:jc w:val="center"/>
              <w:rPr>
                <w:sz w:val="22"/>
              </w:rPr>
            </w:pPr>
            <w:r w:rsidRPr="00FD2767">
              <w:rPr>
                <w:color w:val="000000"/>
                <w:sz w:val="22"/>
              </w:rPr>
              <w:t>6,612.2</w:t>
            </w:r>
          </w:p>
        </w:tc>
        <w:tc>
          <w:tcPr>
            <w:tcW w:w="3117" w:type="dxa"/>
            <w:vAlign w:val="center"/>
          </w:tcPr>
          <w:p w14:paraId="5483EEB8" w14:textId="3CF7B081" w:rsidR="00FD2767" w:rsidRPr="00FD2767" w:rsidRDefault="00FD2767" w:rsidP="00FD2767">
            <w:pPr>
              <w:pStyle w:val="ListParagraph"/>
              <w:ind w:left="0"/>
              <w:jc w:val="center"/>
              <w:rPr>
                <w:sz w:val="22"/>
              </w:rPr>
            </w:pPr>
            <w:r w:rsidRPr="00FD2767">
              <w:rPr>
                <w:color w:val="000000"/>
                <w:sz w:val="22"/>
              </w:rPr>
              <w:t>3,306</w:t>
            </w:r>
          </w:p>
        </w:tc>
      </w:tr>
      <w:tr w:rsidR="00FD2767" w14:paraId="2CE5D04D" w14:textId="77777777" w:rsidTr="00FD2767">
        <w:trPr>
          <w:trHeight w:val="288"/>
        </w:trPr>
        <w:tc>
          <w:tcPr>
            <w:tcW w:w="3116" w:type="dxa"/>
            <w:shd w:val="clear" w:color="auto" w:fill="BFBFBF" w:themeFill="background1" w:themeFillShade="BF"/>
            <w:vAlign w:val="center"/>
          </w:tcPr>
          <w:p w14:paraId="4C07D24F" w14:textId="053B11BE" w:rsidR="00FD2767" w:rsidRPr="00FD2767" w:rsidRDefault="00FD2767" w:rsidP="00FD2767">
            <w:pPr>
              <w:pStyle w:val="ListParagraph"/>
              <w:ind w:left="0"/>
              <w:jc w:val="center"/>
              <w:rPr>
                <w:sz w:val="22"/>
              </w:rPr>
            </w:pPr>
            <w:r w:rsidRPr="00FD2767">
              <w:rPr>
                <w:b/>
                <w:bCs/>
                <w:color w:val="000000"/>
                <w:sz w:val="22"/>
              </w:rPr>
              <w:t>Average</w:t>
            </w:r>
          </w:p>
        </w:tc>
        <w:tc>
          <w:tcPr>
            <w:tcW w:w="3117" w:type="dxa"/>
            <w:shd w:val="clear" w:color="auto" w:fill="BFBFBF" w:themeFill="background1" w:themeFillShade="BF"/>
            <w:vAlign w:val="center"/>
          </w:tcPr>
          <w:p w14:paraId="631BF451" w14:textId="46246770" w:rsidR="00FD2767" w:rsidRPr="00FD2767" w:rsidRDefault="00FD2767" w:rsidP="00FD2767">
            <w:pPr>
              <w:pStyle w:val="ListParagraph"/>
              <w:ind w:left="0"/>
              <w:jc w:val="center"/>
              <w:rPr>
                <w:sz w:val="22"/>
              </w:rPr>
            </w:pPr>
            <w:r w:rsidRPr="00FD2767">
              <w:rPr>
                <w:b/>
                <w:bCs/>
                <w:color w:val="000000"/>
                <w:sz w:val="22"/>
              </w:rPr>
              <w:t>6,427.7</w:t>
            </w:r>
          </w:p>
        </w:tc>
        <w:tc>
          <w:tcPr>
            <w:tcW w:w="3117" w:type="dxa"/>
            <w:shd w:val="clear" w:color="auto" w:fill="BFBFBF" w:themeFill="background1" w:themeFillShade="BF"/>
            <w:vAlign w:val="center"/>
          </w:tcPr>
          <w:p w14:paraId="4278BC8A" w14:textId="7DA0FD1D" w:rsidR="00FD2767" w:rsidRPr="00FD2767" w:rsidRDefault="00FD2767" w:rsidP="00FD2767">
            <w:pPr>
              <w:pStyle w:val="ListParagraph"/>
              <w:ind w:left="0"/>
              <w:jc w:val="center"/>
              <w:rPr>
                <w:sz w:val="22"/>
              </w:rPr>
            </w:pPr>
            <w:r w:rsidRPr="00FD2767">
              <w:rPr>
                <w:b/>
                <w:bCs/>
                <w:color w:val="000000"/>
                <w:sz w:val="22"/>
              </w:rPr>
              <w:t>3,214</w:t>
            </w:r>
          </w:p>
        </w:tc>
      </w:tr>
    </w:tbl>
    <w:p w14:paraId="29E78B29" w14:textId="01B3EA35" w:rsidR="004E0658" w:rsidRDefault="003C0252" w:rsidP="00B9798C">
      <w:pPr>
        <w:pStyle w:val="ListParagraph"/>
        <w:numPr>
          <w:ilvl w:val="0"/>
          <w:numId w:val="3"/>
        </w:numPr>
        <w:spacing w:before="240" w:after="240"/>
        <w:ind w:left="360"/>
        <w:rPr>
          <w:b/>
        </w:rPr>
      </w:pPr>
      <w:r>
        <w:rPr>
          <w:b/>
        </w:rPr>
        <w:t>Combined</w:t>
      </w:r>
      <w:r w:rsidR="00146806">
        <w:rPr>
          <w:b/>
        </w:rPr>
        <w:t xml:space="preserve"> Accruals and </w:t>
      </w:r>
      <w:r w:rsidR="006627A2">
        <w:rPr>
          <w:b/>
        </w:rPr>
        <w:t xml:space="preserve">Releases from the </w:t>
      </w:r>
      <w:r w:rsidR="004E0658">
        <w:rPr>
          <w:b/>
        </w:rPr>
        <w:t>Lake McConaughy EA</w:t>
      </w:r>
    </w:p>
    <w:p w14:paraId="4825B6BE" w14:textId="58439CBC" w:rsidR="00E72742" w:rsidRDefault="007F499B">
      <w:pPr>
        <w:rPr>
          <w:b/>
          <w:bCs/>
          <w:sz w:val="22"/>
        </w:rPr>
      </w:pPr>
      <w:r>
        <w:t xml:space="preserve">As </w:t>
      </w:r>
      <w:r w:rsidR="0075166B">
        <w:t>described</w:t>
      </w:r>
      <w:r>
        <w:t xml:space="preserve"> previously, all sources of water credited to the Lake McConaughy EA become</w:t>
      </w:r>
      <w:r w:rsidR="00CC32F5">
        <w:t xml:space="preserve"> a common supply under the A-17695 permit.</w:t>
      </w:r>
      <w:r w:rsidR="00CF3A0A">
        <w:t xml:space="preserve">  </w:t>
      </w:r>
      <w:r w:rsidR="00CF3A0A" w:rsidRPr="00CF3A0A">
        <w:rPr>
          <w:b/>
          <w:bCs/>
        </w:rPr>
        <w:t xml:space="preserve">Table </w:t>
      </w:r>
      <w:r w:rsidR="00E72742">
        <w:rPr>
          <w:b/>
          <w:bCs/>
        </w:rPr>
        <w:t>19</w:t>
      </w:r>
      <w:r w:rsidR="00CF3A0A">
        <w:t xml:space="preserve"> </w:t>
      </w:r>
      <w:r w:rsidR="00E51BEE">
        <w:t xml:space="preserve">combines </w:t>
      </w:r>
      <w:r w:rsidR="00E51BEE" w:rsidRPr="00E72742">
        <w:t xml:space="preserve">Tables </w:t>
      </w:r>
      <w:r w:rsidR="00E72742" w:rsidRPr="00E72742">
        <w:t>13</w:t>
      </w:r>
      <w:r w:rsidR="00E72742">
        <w:t>-18</w:t>
      </w:r>
      <w:r w:rsidR="00E51BEE">
        <w:t xml:space="preserve"> to show</w:t>
      </w:r>
      <w:r w:rsidR="00CF3A0A">
        <w:t xml:space="preserve"> total accruals to the Lake McConaughy EA from all sources for the years 2007-2020.</w:t>
      </w:r>
      <w:r w:rsidR="00E72742">
        <w:rPr>
          <w:b/>
          <w:bCs/>
          <w:sz w:val="22"/>
        </w:rPr>
        <w:br w:type="page"/>
      </w:r>
    </w:p>
    <w:p w14:paraId="6900AE42" w14:textId="41D94B2C" w:rsidR="00CF3A0A" w:rsidRPr="00840950" w:rsidRDefault="00CF3A0A" w:rsidP="00E72742">
      <w:pPr>
        <w:rPr>
          <w:b/>
          <w:bCs/>
          <w:sz w:val="22"/>
        </w:rPr>
      </w:pPr>
      <w:r w:rsidRPr="00840950">
        <w:rPr>
          <w:b/>
          <w:bCs/>
          <w:sz w:val="22"/>
        </w:rPr>
        <w:lastRenderedPageBreak/>
        <w:t xml:space="preserve">Table </w:t>
      </w:r>
      <w:r w:rsidR="00E72742">
        <w:rPr>
          <w:b/>
          <w:bCs/>
          <w:sz w:val="22"/>
        </w:rPr>
        <w:t>19</w:t>
      </w:r>
      <w:r w:rsidRPr="00840950">
        <w:rPr>
          <w:b/>
          <w:bCs/>
          <w:sz w:val="22"/>
        </w:rPr>
        <w:t xml:space="preserve">.  Accruals to the Lake McConaughy EA, 2007-2020  </w:t>
      </w:r>
    </w:p>
    <w:tbl>
      <w:tblPr>
        <w:tblStyle w:val="TableGrid"/>
        <w:tblW w:w="0" w:type="auto"/>
        <w:tblLook w:val="04A0" w:firstRow="1" w:lastRow="0" w:firstColumn="1" w:lastColumn="0" w:noHBand="0" w:noVBand="1"/>
      </w:tblPr>
      <w:tblGrid>
        <w:gridCol w:w="1094"/>
        <w:gridCol w:w="981"/>
        <w:gridCol w:w="977"/>
        <w:gridCol w:w="1139"/>
        <w:gridCol w:w="1139"/>
        <w:gridCol w:w="1021"/>
        <w:gridCol w:w="998"/>
        <w:gridCol w:w="984"/>
        <w:gridCol w:w="1017"/>
      </w:tblGrid>
      <w:tr w:rsidR="00CF3A0A" w14:paraId="11EE60AB" w14:textId="77777777" w:rsidTr="004C0203">
        <w:tc>
          <w:tcPr>
            <w:tcW w:w="1094" w:type="dxa"/>
            <w:shd w:val="clear" w:color="auto" w:fill="C2D69B" w:themeFill="accent3" w:themeFillTint="99"/>
            <w:vAlign w:val="bottom"/>
          </w:tcPr>
          <w:p w14:paraId="0F92D313" w14:textId="259B05E8" w:rsidR="00CF3A0A" w:rsidRPr="00C92AFC" w:rsidRDefault="004C0203" w:rsidP="004C0203">
            <w:pPr>
              <w:pStyle w:val="ListParagraph"/>
              <w:ind w:left="0"/>
              <w:jc w:val="center"/>
              <w:rPr>
                <w:b/>
                <w:sz w:val="20"/>
                <w:szCs w:val="20"/>
              </w:rPr>
            </w:pPr>
            <w:r>
              <w:rPr>
                <w:b/>
                <w:bCs/>
                <w:color w:val="000000"/>
                <w:sz w:val="20"/>
                <w:szCs w:val="20"/>
              </w:rPr>
              <w:t>Year</w:t>
            </w:r>
          </w:p>
        </w:tc>
        <w:tc>
          <w:tcPr>
            <w:tcW w:w="981" w:type="dxa"/>
            <w:shd w:val="clear" w:color="auto" w:fill="C2D69B" w:themeFill="accent3" w:themeFillTint="99"/>
            <w:vAlign w:val="bottom"/>
          </w:tcPr>
          <w:p w14:paraId="29E392B2" w14:textId="77777777" w:rsidR="00CF3A0A" w:rsidRDefault="00CF3A0A" w:rsidP="004C0203">
            <w:pPr>
              <w:pStyle w:val="ListParagraph"/>
              <w:ind w:left="0"/>
              <w:jc w:val="center"/>
              <w:rPr>
                <w:b/>
                <w:bCs/>
                <w:color w:val="000000"/>
                <w:sz w:val="20"/>
                <w:szCs w:val="20"/>
              </w:rPr>
            </w:pPr>
            <w:r w:rsidRPr="00C92AFC">
              <w:rPr>
                <w:b/>
                <w:bCs/>
                <w:color w:val="000000"/>
                <w:sz w:val="20"/>
                <w:szCs w:val="20"/>
              </w:rPr>
              <w:t>SNI</w:t>
            </w:r>
          </w:p>
          <w:p w14:paraId="0EB837A7" w14:textId="16FD5EE3" w:rsidR="004C0203" w:rsidRPr="00C92AFC" w:rsidRDefault="004C0203" w:rsidP="004C0203">
            <w:pPr>
              <w:pStyle w:val="ListParagraph"/>
              <w:ind w:left="0"/>
              <w:jc w:val="center"/>
              <w:rPr>
                <w:b/>
                <w:sz w:val="20"/>
                <w:szCs w:val="20"/>
              </w:rPr>
            </w:pPr>
            <w:r>
              <w:rPr>
                <w:b/>
                <w:color w:val="000000"/>
                <w:sz w:val="20"/>
                <w:szCs w:val="20"/>
              </w:rPr>
              <w:t>(AF)</w:t>
            </w:r>
          </w:p>
        </w:tc>
        <w:tc>
          <w:tcPr>
            <w:tcW w:w="977" w:type="dxa"/>
            <w:shd w:val="clear" w:color="auto" w:fill="C2D69B" w:themeFill="accent3" w:themeFillTint="99"/>
            <w:vAlign w:val="bottom"/>
          </w:tcPr>
          <w:p w14:paraId="283AD1A1" w14:textId="77777777" w:rsidR="00CF3A0A" w:rsidRDefault="00CF3A0A" w:rsidP="004C0203">
            <w:pPr>
              <w:pStyle w:val="ListParagraph"/>
              <w:ind w:left="0"/>
              <w:jc w:val="center"/>
              <w:rPr>
                <w:b/>
                <w:bCs/>
                <w:color w:val="000000"/>
                <w:sz w:val="20"/>
                <w:szCs w:val="20"/>
              </w:rPr>
            </w:pPr>
            <w:r w:rsidRPr="00C92AFC">
              <w:rPr>
                <w:b/>
                <w:bCs/>
                <w:color w:val="000000"/>
                <w:sz w:val="20"/>
                <w:szCs w:val="20"/>
              </w:rPr>
              <w:t>No-Cost NCCW</w:t>
            </w:r>
          </w:p>
          <w:p w14:paraId="4C3BBA8A" w14:textId="6B3F368C" w:rsidR="004C0203" w:rsidRPr="00C92AFC" w:rsidRDefault="004C0203" w:rsidP="004C0203">
            <w:pPr>
              <w:pStyle w:val="ListParagraph"/>
              <w:ind w:left="0"/>
              <w:jc w:val="center"/>
              <w:rPr>
                <w:b/>
                <w:sz w:val="20"/>
                <w:szCs w:val="20"/>
              </w:rPr>
            </w:pPr>
            <w:r>
              <w:rPr>
                <w:b/>
                <w:color w:val="000000"/>
                <w:sz w:val="20"/>
                <w:szCs w:val="20"/>
              </w:rPr>
              <w:t>(AF)</w:t>
            </w:r>
          </w:p>
        </w:tc>
        <w:tc>
          <w:tcPr>
            <w:tcW w:w="1139" w:type="dxa"/>
            <w:shd w:val="clear" w:color="auto" w:fill="C2D69B" w:themeFill="accent3" w:themeFillTint="99"/>
            <w:vAlign w:val="bottom"/>
          </w:tcPr>
          <w:p w14:paraId="28152FFF" w14:textId="77777777" w:rsidR="00CF3A0A" w:rsidRDefault="00CF3A0A" w:rsidP="004C0203">
            <w:pPr>
              <w:pStyle w:val="ListParagraph"/>
              <w:ind w:left="0"/>
              <w:jc w:val="center"/>
              <w:rPr>
                <w:b/>
                <w:bCs/>
                <w:color w:val="000000"/>
                <w:sz w:val="20"/>
                <w:szCs w:val="20"/>
              </w:rPr>
            </w:pPr>
            <w:r w:rsidRPr="00C92AFC">
              <w:rPr>
                <w:b/>
                <w:bCs/>
                <w:color w:val="000000"/>
                <w:sz w:val="20"/>
                <w:szCs w:val="20"/>
              </w:rPr>
              <w:t>Pathfinder EA</w:t>
            </w:r>
          </w:p>
          <w:p w14:paraId="2A7014CE" w14:textId="7E1C6AC2" w:rsidR="004C0203" w:rsidRPr="00C92AFC" w:rsidRDefault="004C0203" w:rsidP="004C0203">
            <w:pPr>
              <w:pStyle w:val="ListParagraph"/>
              <w:ind w:left="0"/>
              <w:jc w:val="center"/>
              <w:rPr>
                <w:b/>
                <w:sz w:val="20"/>
                <w:szCs w:val="20"/>
              </w:rPr>
            </w:pPr>
            <w:r>
              <w:rPr>
                <w:b/>
                <w:color w:val="000000"/>
                <w:sz w:val="20"/>
                <w:szCs w:val="20"/>
              </w:rPr>
              <w:t>(AF)</w:t>
            </w:r>
          </w:p>
        </w:tc>
        <w:tc>
          <w:tcPr>
            <w:tcW w:w="1139" w:type="dxa"/>
            <w:shd w:val="clear" w:color="auto" w:fill="C2D69B" w:themeFill="accent3" w:themeFillTint="99"/>
            <w:vAlign w:val="bottom"/>
          </w:tcPr>
          <w:p w14:paraId="3E206DA1" w14:textId="14ED2C08" w:rsidR="00CF3A0A" w:rsidRDefault="00CF3A0A" w:rsidP="004C0203">
            <w:pPr>
              <w:pStyle w:val="ListParagraph"/>
              <w:ind w:left="0"/>
              <w:jc w:val="center"/>
              <w:rPr>
                <w:b/>
                <w:bCs/>
                <w:color w:val="000000"/>
                <w:sz w:val="20"/>
                <w:szCs w:val="20"/>
              </w:rPr>
            </w:pPr>
            <w:r w:rsidRPr="00C92AFC">
              <w:rPr>
                <w:b/>
                <w:bCs/>
                <w:color w:val="000000"/>
                <w:sz w:val="20"/>
                <w:szCs w:val="20"/>
              </w:rPr>
              <w:t xml:space="preserve">Pathfinder </w:t>
            </w:r>
            <w:r w:rsidR="004C0203">
              <w:rPr>
                <w:b/>
                <w:bCs/>
                <w:color w:val="000000"/>
                <w:sz w:val="20"/>
                <w:szCs w:val="20"/>
              </w:rPr>
              <w:t>Municipal</w:t>
            </w:r>
          </w:p>
          <w:p w14:paraId="69BED9B0" w14:textId="62A0874A" w:rsidR="004C0203" w:rsidRDefault="004C0203" w:rsidP="004C0203">
            <w:pPr>
              <w:pStyle w:val="ListParagraph"/>
              <w:ind w:left="0"/>
              <w:jc w:val="center"/>
              <w:rPr>
                <w:b/>
                <w:bCs/>
                <w:color w:val="000000"/>
                <w:sz w:val="20"/>
                <w:szCs w:val="20"/>
              </w:rPr>
            </w:pPr>
            <w:r>
              <w:rPr>
                <w:b/>
                <w:bCs/>
                <w:color w:val="000000"/>
                <w:sz w:val="20"/>
                <w:szCs w:val="20"/>
              </w:rPr>
              <w:t>Account</w:t>
            </w:r>
          </w:p>
          <w:p w14:paraId="28DAE00E" w14:textId="17F3C784" w:rsidR="004C0203" w:rsidRPr="00C92AFC" w:rsidRDefault="004C0203" w:rsidP="004C0203">
            <w:pPr>
              <w:pStyle w:val="ListParagraph"/>
              <w:ind w:left="0"/>
              <w:jc w:val="center"/>
              <w:rPr>
                <w:b/>
                <w:sz w:val="20"/>
                <w:szCs w:val="20"/>
              </w:rPr>
            </w:pPr>
            <w:r>
              <w:rPr>
                <w:b/>
                <w:color w:val="000000"/>
                <w:sz w:val="20"/>
                <w:szCs w:val="20"/>
              </w:rPr>
              <w:t>(AF)</w:t>
            </w:r>
          </w:p>
        </w:tc>
        <w:tc>
          <w:tcPr>
            <w:tcW w:w="1021" w:type="dxa"/>
            <w:shd w:val="clear" w:color="auto" w:fill="C2D69B" w:themeFill="accent3" w:themeFillTint="99"/>
            <w:vAlign w:val="bottom"/>
          </w:tcPr>
          <w:p w14:paraId="772D842D" w14:textId="77777777" w:rsidR="00CF3A0A" w:rsidRDefault="00CF3A0A" w:rsidP="004C0203">
            <w:pPr>
              <w:pStyle w:val="ListParagraph"/>
              <w:ind w:left="0"/>
              <w:jc w:val="center"/>
              <w:rPr>
                <w:b/>
                <w:bCs/>
                <w:color w:val="000000"/>
                <w:sz w:val="20"/>
                <w:szCs w:val="20"/>
              </w:rPr>
            </w:pPr>
            <w:r w:rsidRPr="00C92AFC">
              <w:rPr>
                <w:b/>
                <w:bCs/>
                <w:color w:val="000000"/>
                <w:sz w:val="20"/>
                <w:szCs w:val="20"/>
              </w:rPr>
              <w:t>CNPPID Irrigator Lease</w:t>
            </w:r>
          </w:p>
          <w:p w14:paraId="6FD23BEB" w14:textId="73D2C4B7" w:rsidR="004C0203" w:rsidRPr="00C92AFC" w:rsidRDefault="004C0203" w:rsidP="004C0203">
            <w:pPr>
              <w:pStyle w:val="ListParagraph"/>
              <w:ind w:left="0"/>
              <w:jc w:val="center"/>
              <w:rPr>
                <w:b/>
                <w:sz w:val="20"/>
                <w:szCs w:val="20"/>
              </w:rPr>
            </w:pPr>
            <w:r>
              <w:rPr>
                <w:b/>
                <w:sz w:val="20"/>
                <w:szCs w:val="20"/>
              </w:rPr>
              <w:t>(AF)</w:t>
            </w:r>
          </w:p>
        </w:tc>
        <w:tc>
          <w:tcPr>
            <w:tcW w:w="998" w:type="dxa"/>
            <w:shd w:val="clear" w:color="auto" w:fill="C2D69B" w:themeFill="accent3" w:themeFillTint="99"/>
            <w:vAlign w:val="bottom"/>
          </w:tcPr>
          <w:p w14:paraId="10D804CB" w14:textId="77777777" w:rsidR="00CF3A0A" w:rsidRDefault="00CF3A0A" w:rsidP="004C0203">
            <w:pPr>
              <w:pStyle w:val="ListParagraph"/>
              <w:ind w:left="0"/>
              <w:jc w:val="center"/>
              <w:rPr>
                <w:b/>
                <w:bCs/>
                <w:color w:val="000000"/>
                <w:sz w:val="20"/>
                <w:szCs w:val="20"/>
              </w:rPr>
            </w:pPr>
            <w:r w:rsidRPr="00C92AFC">
              <w:rPr>
                <w:b/>
                <w:bCs/>
                <w:color w:val="000000"/>
                <w:sz w:val="20"/>
                <w:szCs w:val="20"/>
              </w:rPr>
              <w:t>CPNRD Surface Water Lease</w:t>
            </w:r>
          </w:p>
          <w:p w14:paraId="6F51A778" w14:textId="35AFB3CF" w:rsidR="004C0203" w:rsidRPr="00C92AFC" w:rsidRDefault="004C0203" w:rsidP="004C0203">
            <w:pPr>
              <w:pStyle w:val="ListParagraph"/>
              <w:ind w:left="0"/>
              <w:jc w:val="center"/>
              <w:rPr>
                <w:b/>
                <w:sz w:val="20"/>
                <w:szCs w:val="20"/>
              </w:rPr>
            </w:pPr>
            <w:r>
              <w:rPr>
                <w:b/>
                <w:sz w:val="20"/>
                <w:szCs w:val="20"/>
              </w:rPr>
              <w:t>(AF)</w:t>
            </w:r>
          </w:p>
        </w:tc>
        <w:tc>
          <w:tcPr>
            <w:tcW w:w="984" w:type="dxa"/>
            <w:shd w:val="clear" w:color="auto" w:fill="C2D69B" w:themeFill="accent3" w:themeFillTint="99"/>
            <w:vAlign w:val="bottom"/>
          </w:tcPr>
          <w:p w14:paraId="09D56459" w14:textId="77777777" w:rsidR="00CF3A0A" w:rsidRDefault="00CF3A0A" w:rsidP="004C0203">
            <w:pPr>
              <w:pStyle w:val="ListParagraph"/>
              <w:ind w:left="0"/>
              <w:jc w:val="center"/>
              <w:rPr>
                <w:b/>
                <w:bCs/>
                <w:color w:val="000000"/>
                <w:sz w:val="20"/>
                <w:szCs w:val="20"/>
              </w:rPr>
            </w:pPr>
            <w:r w:rsidRPr="00C92AFC">
              <w:rPr>
                <w:b/>
                <w:bCs/>
                <w:color w:val="000000"/>
                <w:sz w:val="20"/>
                <w:szCs w:val="20"/>
              </w:rPr>
              <w:t>NPPD Surface Water Lease</w:t>
            </w:r>
          </w:p>
          <w:p w14:paraId="2A92A599" w14:textId="20F720FD" w:rsidR="004C0203" w:rsidRPr="00C92AFC" w:rsidRDefault="004C0203" w:rsidP="004C0203">
            <w:pPr>
              <w:pStyle w:val="ListParagraph"/>
              <w:ind w:left="0"/>
              <w:jc w:val="center"/>
              <w:rPr>
                <w:b/>
                <w:sz w:val="20"/>
                <w:szCs w:val="20"/>
              </w:rPr>
            </w:pPr>
            <w:r>
              <w:rPr>
                <w:b/>
                <w:sz w:val="20"/>
                <w:szCs w:val="20"/>
              </w:rPr>
              <w:t>(AF)</w:t>
            </w:r>
          </w:p>
        </w:tc>
        <w:tc>
          <w:tcPr>
            <w:tcW w:w="1017" w:type="dxa"/>
            <w:shd w:val="clear" w:color="auto" w:fill="C2D69B" w:themeFill="accent3" w:themeFillTint="99"/>
            <w:vAlign w:val="bottom"/>
          </w:tcPr>
          <w:p w14:paraId="378B4D13" w14:textId="77777777" w:rsidR="00CF3A0A" w:rsidRDefault="00CF3A0A" w:rsidP="004C0203">
            <w:pPr>
              <w:pStyle w:val="ListParagraph"/>
              <w:ind w:left="0"/>
              <w:jc w:val="center"/>
              <w:rPr>
                <w:b/>
                <w:bCs/>
                <w:color w:val="000000"/>
                <w:sz w:val="20"/>
                <w:szCs w:val="20"/>
              </w:rPr>
            </w:pPr>
            <w:r w:rsidRPr="00C92AFC">
              <w:rPr>
                <w:b/>
                <w:bCs/>
                <w:color w:val="000000"/>
                <w:sz w:val="20"/>
                <w:szCs w:val="20"/>
              </w:rPr>
              <w:t>Total Accruals</w:t>
            </w:r>
          </w:p>
          <w:p w14:paraId="56E7B3ED" w14:textId="38CA4B48" w:rsidR="004C0203" w:rsidRPr="00C92AFC" w:rsidRDefault="004C0203" w:rsidP="004C0203">
            <w:pPr>
              <w:pStyle w:val="ListParagraph"/>
              <w:ind w:left="0"/>
              <w:jc w:val="center"/>
              <w:rPr>
                <w:b/>
                <w:sz w:val="20"/>
                <w:szCs w:val="20"/>
              </w:rPr>
            </w:pPr>
            <w:r>
              <w:rPr>
                <w:b/>
                <w:sz w:val="20"/>
                <w:szCs w:val="20"/>
              </w:rPr>
              <w:t>(AF)</w:t>
            </w:r>
          </w:p>
        </w:tc>
      </w:tr>
      <w:tr w:rsidR="00CF3A0A" w14:paraId="57FED7C2" w14:textId="77777777" w:rsidTr="00016204">
        <w:tc>
          <w:tcPr>
            <w:tcW w:w="1094" w:type="dxa"/>
            <w:vAlign w:val="center"/>
          </w:tcPr>
          <w:p w14:paraId="00FF443C" w14:textId="77777777" w:rsidR="00CF3A0A" w:rsidRPr="00C92AFC" w:rsidRDefault="00CF3A0A" w:rsidP="00016204">
            <w:pPr>
              <w:pStyle w:val="ListParagraph"/>
              <w:ind w:left="0"/>
              <w:jc w:val="center"/>
              <w:rPr>
                <w:b/>
                <w:sz w:val="20"/>
                <w:szCs w:val="20"/>
              </w:rPr>
            </w:pPr>
            <w:r w:rsidRPr="00C92AFC">
              <w:rPr>
                <w:color w:val="000000"/>
                <w:sz w:val="20"/>
                <w:szCs w:val="20"/>
              </w:rPr>
              <w:t>2007</w:t>
            </w:r>
          </w:p>
        </w:tc>
        <w:tc>
          <w:tcPr>
            <w:tcW w:w="981" w:type="dxa"/>
            <w:vAlign w:val="center"/>
          </w:tcPr>
          <w:p w14:paraId="5BE9698B" w14:textId="77777777" w:rsidR="00CF3A0A" w:rsidRPr="00C92AFC" w:rsidRDefault="00CF3A0A" w:rsidP="00016204">
            <w:pPr>
              <w:pStyle w:val="ListParagraph"/>
              <w:ind w:left="0"/>
              <w:jc w:val="center"/>
              <w:rPr>
                <w:b/>
                <w:sz w:val="20"/>
                <w:szCs w:val="20"/>
              </w:rPr>
            </w:pPr>
            <w:r>
              <w:rPr>
                <w:color w:val="000000"/>
                <w:sz w:val="20"/>
                <w:szCs w:val="20"/>
              </w:rPr>
              <w:t>34,480</w:t>
            </w:r>
          </w:p>
        </w:tc>
        <w:tc>
          <w:tcPr>
            <w:tcW w:w="977" w:type="dxa"/>
            <w:vAlign w:val="center"/>
          </w:tcPr>
          <w:p w14:paraId="2482D8BC" w14:textId="77777777" w:rsidR="00CF3A0A" w:rsidRPr="00C92AFC" w:rsidRDefault="00CF3A0A" w:rsidP="00016204">
            <w:pPr>
              <w:pStyle w:val="ListParagraph"/>
              <w:ind w:left="0"/>
              <w:jc w:val="center"/>
              <w:rPr>
                <w:b/>
                <w:sz w:val="20"/>
                <w:szCs w:val="20"/>
              </w:rPr>
            </w:pPr>
            <w:r>
              <w:rPr>
                <w:color w:val="000000"/>
                <w:sz w:val="20"/>
                <w:szCs w:val="20"/>
              </w:rPr>
              <w:t>314</w:t>
            </w:r>
          </w:p>
        </w:tc>
        <w:tc>
          <w:tcPr>
            <w:tcW w:w="1139" w:type="dxa"/>
            <w:vAlign w:val="center"/>
          </w:tcPr>
          <w:p w14:paraId="4AC15E11" w14:textId="77777777" w:rsidR="00CF3A0A" w:rsidRPr="00C92AFC" w:rsidRDefault="00CF3A0A" w:rsidP="00016204">
            <w:pPr>
              <w:pStyle w:val="ListParagraph"/>
              <w:ind w:left="0"/>
              <w:jc w:val="center"/>
              <w:rPr>
                <w:b/>
                <w:sz w:val="20"/>
                <w:szCs w:val="20"/>
              </w:rPr>
            </w:pPr>
            <w:r>
              <w:rPr>
                <w:color w:val="000000"/>
                <w:sz w:val="20"/>
                <w:szCs w:val="20"/>
              </w:rPr>
              <w:t>0</w:t>
            </w:r>
          </w:p>
        </w:tc>
        <w:tc>
          <w:tcPr>
            <w:tcW w:w="1139" w:type="dxa"/>
            <w:vAlign w:val="center"/>
          </w:tcPr>
          <w:p w14:paraId="77428DBC" w14:textId="77777777" w:rsidR="00CF3A0A" w:rsidRPr="00C92AFC" w:rsidRDefault="00CF3A0A" w:rsidP="00016204">
            <w:pPr>
              <w:pStyle w:val="ListParagraph"/>
              <w:ind w:left="0"/>
              <w:jc w:val="center"/>
              <w:rPr>
                <w:b/>
                <w:sz w:val="20"/>
                <w:szCs w:val="20"/>
              </w:rPr>
            </w:pPr>
            <w:r>
              <w:rPr>
                <w:color w:val="000000"/>
                <w:sz w:val="20"/>
                <w:szCs w:val="20"/>
              </w:rPr>
              <w:t>0</w:t>
            </w:r>
          </w:p>
        </w:tc>
        <w:tc>
          <w:tcPr>
            <w:tcW w:w="1021" w:type="dxa"/>
            <w:vAlign w:val="center"/>
          </w:tcPr>
          <w:p w14:paraId="4F446426" w14:textId="77777777" w:rsidR="00CF3A0A" w:rsidRPr="00C92AFC" w:rsidRDefault="00CF3A0A" w:rsidP="00016204">
            <w:pPr>
              <w:pStyle w:val="ListParagraph"/>
              <w:ind w:left="0"/>
              <w:jc w:val="center"/>
              <w:rPr>
                <w:b/>
                <w:sz w:val="20"/>
                <w:szCs w:val="20"/>
              </w:rPr>
            </w:pPr>
            <w:r>
              <w:rPr>
                <w:color w:val="000000"/>
                <w:sz w:val="20"/>
                <w:szCs w:val="20"/>
              </w:rPr>
              <w:t>0</w:t>
            </w:r>
          </w:p>
        </w:tc>
        <w:tc>
          <w:tcPr>
            <w:tcW w:w="998" w:type="dxa"/>
            <w:vAlign w:val="center"/>
          </w:tcPr>
          <w:p w14:paraId="0DC2F394" w14:textId="77777777" w:rsidR="00CF3A0A" w:rsidRPr="00C92AFC" w:rsidRDefault="00CF3A0A" w:rsidP="00016204">
            <w:pPr>
              <w:pStyle w:val="ListParagraph"/>
              <w:ind w:left="0"/>
              <w:jc w:val="center"/>
              <w:rPr>
                <w:b/>
                <w:sz w:val="20"/>
                <w:szCs w:val="20"/>
              </w:rPr>
            </w:pPr>
            <w:r>
              <w:rPr>
                <w:color w:val="000000"/>
                <w:sz w:val="20"/>
                <w:szCs w:val="20"/>
              </w:rPr>
              <w:t>0</w:t>
            </w:r>
          </w:p>
        </w:tc>
        <w:tc>
          <w:tcPr>
            <w:tcW w:w="984" w:type="dxa"/>
            <w:vAlign w:val="center"/>
          </w:tcPr>
          <w:p w14:paraId="0B072C37" w14:textId="77777777" w:rsidR="00CF3A0A" w:rsidRPr="00C92AFC" w:rsidRDefault="00CF3A0A" w:rsidP="00016204">
            <w:pPr>
              <w:pStyle w:val="ListParagraph"/>
              <w:ind w:left="0"/>
              <w:jc w:val="center"/>
              <w:rPr>
                <w:b/>
                <w:sz w:val="20"/>
                <w:szCs w:val="20"/>
              </w:rPr>
            </w:pPr>
            <w:r>
              <w:rPr>
                <w:color w:val="000000"/>
                <w:sz w:val="20"/>
                <w:szCs w:val="20"/>
              </w:rPr>
              <w:t>0</w:t>
            </w:r>
          </w:p>
        </w:tc>
        <w:tc>
          <w:tcPr>
            <w:tcW w:w="1017" w:type="dxa"/>
            <w:vAlign w:val="center"/>
          </w:tcPr>
          <w:p w14:paraId="2D37FD58" w14:textId="77777777" w:rsidR="00CF3A0A" w:rsidRPr="00C92AFC" w:rsidRDefault="00CF3A0A" w:rsidP="00016204">
            <w:pPr>
              <w:pStyle w:val="ListParagraph"/>
              <w:ind w:left="0"/>
              <w:jc w:val="center"/>
              <w:rPr>
                <w:b/>
                <w:sz w:val="20"/>
                <w:szCs w:val="20"/>
              </w:rPr>
            </w:pPr>
            <w:r>
              <w:rPr>
                <w:color w:val="000000"/>
                <w:sz w:val="20"/>
                <w:szCs w:val="20"/>
              </w:rPr>
              <w:t>34,794</w:t>
            </w:r>
          </w:p>
        </w:tc>
      </w:tr>
      <w:tr w:rsidR="00CF3A0A" w14:paraId="3F782549" w14:textId="77777777" w:rsidTr="00016204">
        <w:tc>
          <w:tcPr>
            <w:tcW w:w="1094" w:type="dxa"/>
            <w:vAlign w:val="center"/>
          </w:tcPr>
          <w:p w14:paraId="66A80F8E" w14:textId="77777777" w:rsidR="00CF3A0A" w:rsidRPr="00C92AFC" w:rsidRDefault="00CF3A0A" w:rsidP="00016204">
            <w:pPr>
              <w:pStyle w:val="ListParagraph"/>
              <w:ind w:left="0"/>
              <w:jc w:val="center"/>
              <w:rPr>
                <w:b/>
                <w:sz w:val="20"/>
                <w:szCs w:val="20"/>
              </w:rPr>
            </w:pPr>
            <w:r w:rsidRPr="00C92AFC">
              <w:rPr>
                <w:color w:val="000000"/>
                <w:sz w:val="20"/>
                <w:szCs w:val="20"/>
              </w:rPr>
              <w:t>2008</w:t>
            </w:r>
          </w:p>
        </w:tc>
        <w:tc>
          <w:tcPr>
            <w:tcW w:w="981" w:type="dxa"/>
            <w:vAlign w:val="center"/>
          </w:tcPr>
          <w:p w14:paraId="5869B1DF" w14:textId="77777777" w:rsidR="00CF3A0A" w:rsidRPr="00C92AFC" w:rsidRDefault="00CF3A0A" w:rsidP="00016204">
            <w:pPr>
              <w:pStyle w:val="ListParagraph"/>
              <w:ind w:left="0"/>
              <w:jc w:val="center"/>
              <w:rPr>
                <w:b/>
                <w:sz w:val="20"/>
                <w:szCs w:val="20"/>
              </w:rPr>
            </w:pPr>
            <w:r>
              <w:rPr>
                <w:color w:val="000000"/>
                <w:sz w:val="20"/>
                <w:szCs w:val="20"/>
              </w:rPr>
              <w:t>37,367</w:t>
            </w:r>
          </w:p>
        </w:tc>
        <w:tc>
          <w:tcPr>
            <w:tcW w:w="977" w:type="dxa"/>
            <w:vAlign w:val="center"/>
          </w:tcPr>
          <w:p w14:paraId="69D99871" w14:textId="77777777" w:rsidR="00CF3A0A" w:rsidRPr="00C92AFC" w:rsidRDefault="00CF3A0A" w:rsidP="00016204">
            <w:pPr>
              <w:pStyle w:val="ListParagraph"/>
              <w:ind w:left="0"/>
              <w:jc w:val="center"/>
              <w:rPr>
                <w:b/>
                <w:sz w:val="20"/>
                <w:szCs w:val="20"/>
              </w:rPr>
            </w:pPr>
            <w:r>
              <w:rPr>
                <w:color w:val="000000"/>
                <w:sz w:val="20"/>
                <w:szCs w:val="20"/>
              </w:rPr>
              <w:t>314</w:t>
            </w:r>
          </w:p>
        </w:tc>
        <w:tc>
          <w:tcPr>
            <w:tcW w:w="1139" w:type="dxa"/>
            <w:vAlign w:val="center"/>
          </w:tcPr>
          <w:p w14:paraId="5BBA1E7C" w14:textId="77777777" w:rsidR="00CF3A0A" w:rsidRPr="00C92AFC" w:rsidRDefault="00CF3A0A" w:rsidP="00016204">
            <w:pPr>
              <w:pStyle w:val="ListParagraph"/>
              <w:ind w:left="0"/>
              <w:jc w:val="center"/>
              <w:rPr>
                <w:b/>
                <w:sz w:val="20"/>
                <w:szCs w:val="20"/>
              </w:rPr>
            </w:pPr>
            <w:r>
              <w:rPr>
                <w:color w:val="000000"/>
                <w:sz w:val="20"/>
                <w:szCs w:val="20"/>
              </w:rPr>
              <w:t>0</w:t>
            </w:r>
          </w:p>
        </w:tc>
        <w:tc>
          <w:tcPr>
            <w:tcW w:w="1139" w:type="dxa"/>
            <w:vAlign w:val="center"/>
          </w:tcPr>
          <w:p w14:paraId="0E30696B" w14:textId="77777777" w:rsidR="00CF3A0A" w:rsidRPr="00C92AFC" w:rsidRDefault="00CF3A0A" w:rsidP="00016204">
            <w:pPr>
              <w:pStyle w:val="ListParagraph"/>
              <w:ind w:left="0"/>
              <w:jc w:val="center"/>
              <w:rPr>
                <w:b/>
                <w:sz w:val="20"/>
                <w:szCs w:val="20"/>
              </w:rPr>
            </w:pPr>
            <w:r>
              <w:rPr>
                <w:color w:val="000000"/>
                <w:sz w:val="20"/>
                <w:szCs w:val="20"/>
              </w:rPr>
              <w:t>0</w:t>
            </w:r>
          </w:p>
        </w:tc>
        <w:tc>
          <w:tcPr>
            <w:tcW w:w="1021" w:type="dxa"/>
            <w:vAlign w:val="center"/>
          </w:tcPr>
          <w:p w14:paraId="7248F6B3" w14:textId="77777777" w:rsidR="00CF3A0A" w:rsidRPr="00C92AFC" w:rsidRDefault="00CF3A0A" w:rsidP="00016204">
            <w:pPr>
              <w:pStyle w:val="ListParagraph"/>
              <w:ind w:left="0"/>
              <w:jc w:val="center"/>
              <w:rPr>
                <w:b/>
                <w:sz w:val="20"/>
                <w:szCs w:val="20"/>
              </w:rPr>
            </w:pPr>
            <w:r>
              <w:rPr>
                <w:color w:val="000000"/>
                <w:sz w:val="20"/>
                <w:szCs w:val="20"/>
              </w:rPr>
              <w:t>0</w:t>
            </w:r>
          </w:p>
        </w:tc>
        <w:tc>
          <w:tcPr>
            <w:tcW w:w="998" w:type="dxa"/>
            <w:vAlign w:val="center"/>
          </w:tcPr>
          <w:p w14:paraId="742D2025" w14:textId="77777777" w:rsidR="00CF3A0A" w:rsidRPr="00C92AFC" w:rsidRDefault="00CF3A0A" w:rsidP="00016204">
            <w:pPr>
              <w:pStyle w:val="ListParagraph"/>
              <w:ind w:left="0"/>
              <w:jc w:val="center"/>
              <w:rPr>
                <w:b/>
                <w:sz w:val="20"/>
                <w:szCs w:val="20"/>
              </w:rPr>
            </w:pPr>
            <w:r>
              <w:rPr>
                <w:color w:val="000000"/>
                <w:sz w:val="20"/>
                <w:szCs w:val="20"/>
              </w:rPr>
              <w:t>0</w:t>
            </w:r>
          </w:p>
        </w:tc>
        <w:tc>
          <w:tcPr>
            <w:tcW w:w="984" w:type="dxa"/>
            <w:vAlign w:val="center"/>
          </w:tcPr>
          <w:p w14:paraId="023713AC" w14:textId="77777777" w:rsidR="00CF3A0A" w:rsidRPr="00C92AFC" w:rsidRDefault="00CF3A0A" w:rsidP="00016204">
            <w:pPr>
              <w:pStyle w:val="ListParagraph"/>
              <w:ind w:left="0"/>
              <w:jc w:val="center"/>
              <w:rPr>
                <w:b/>
                <w:sz w:val="20"/>
                <w:szCs w:val="20"/>
              </w:rPr>
            </w:pPr>
            <w:r>
              <w:rPr>
                <w:color w:val="000000"/>
                <w:sz w:val="20"/>
                <w:szCs w:val="20"/>
              </w:rPr>
              <w:t>0</w:t>
            </w:r>
          </w:p>
        </w:tc>
        <w:tc>
          <w:tcPr>
            <w:tcW w:w="1017" w:type="dxa"/>
            <w:vAlign w:val="center"/>
          </w:tcPr>
          <w:p w14:paraId="15FA5413" w14:textId="77777777" w:rsidR="00CF3A0A" w:rsidRPr="00C92AFC" w:rsidRDefault="00CF3A0A" w:rsidP="00016204">
            <w:pPr>
              <w:pStyle w:val="ListParagraph"/>
              <w:ind w:left="0"/>
              <w:jc w:val="center"/>
              <w:rPr>
                <w:b/>
                <w:sz w:val="20"/>
                <w:szCs w:val="20"/>
              </w:rPr>
            </w:pPr>
            <w:r>
              <w:rPr>
                <w:color w:val="000000"/>
                <w:sz w:val="20"/>
                <w:szCs w:val="20"/>
              </w:rPr>
              <w:t>37,681</w:t>
            </w:r>
          </w:p>
        </w:tc>
      </w:tr>
      <w:tr w:rsidR="00CF3A0A" w14:paraId="71A1F948" w14:textId="77777777" w:rsidTr="00016204">
        <w:tc>
          <w:tcPr>
            <w:tcW w:w="1094" w:type="dxa"/>
            <w:vAlign w:val="center"/>
          </w:tcPr>
          <w:p w14:paraId="7F3B3DD4" w14:textId="77777777" w:rsidR="00CF3A0A" w:rsidRPr="00C92AFC" w:rsidRDefault="00CF3A0A" w:rsidP="00016204">
            <w:pPr>
              <w:pStyle w:val="ListParagraph"/>
              <w:ind w:left="0"/>
              <w:jc w:val="center"/>
              <w:rPr>
                <w:b/>
                <w:sz w:val="20"/>
                <w:szCs w:val="20"/>
              </w:rPr>
            </w:pPr>
            <w:r w:rsidRPr="00C92AFC">
              <w:rPr>
                <w:color w:val="000000"/>
                <w:sz w:val="20"/>
                <w:szCs w:val="20"/>
              </w:rPr>
              <w:t>2009</w:t>
            </w:r>
          </w:p>
        </w:tc>
        <w:tc>
          <w:tcPr>
            <w:tcW w:w="981" w:type="dxa"/>
            <w:vAlign w:val="center"/>
          </w:tcPr>
          <w:p w14:paraId="1EBFE5D4" w14:textId="77777777" w:rsidR="00CF3A0A" w:rsidRPr="00C92AFC" w:rsidRDefault="00CF3A0A" w:rsidP="00016204">
            <w:pPr>
              <w:pStyle w:val="ListParagraph"/>
              <w:ind w:left="0"/>
              <w:jc w:val="center"/>
              <w:rPr>
                <w:b/>
                <w:sz w:val="20"/>
                <w:szCs w:val="20"/>
              </w:rPr>
            </w:pPr>
            <w:r>
              <w:rPr>
                <w:color w:val="000000"/>
                <w:sz w:val="20"/>
                <w:szCs w:val="20"/>
              </w:rPr>
              <w:t>39,702</w:t>
            </w:r>
          </w:p>
        </w:tc>
        <w:tc>
          <w:tcPr>
            <w:tcW w:w="977" w:type="dxa"/>
            <w:vAlign w:val="center"/>
          </w:tcPr>
          <w:p w14:paraId="42E0BA93" w14:textId="77777777" w:rsidR="00CF3A0A" w:rsidRPr="00C92AFC" w:rsidRDefault="00CF3A0A" w:rsidP="00016204">
            <w:pPr>
              <w:pStyle w:val="ListParagraph"/>
              <w:ind w:left="0"/>
              <w:jc w:val="center"/>
              <w:rPr>
                <w:b/>
                <w:sz w:val="20"/>
                <w:szCs w:val="20"/>
              </w:rPr>
            </w:pPr>
            <w:r>
              <w:rPr>
                <w:color w:val="000000"/>
                <w:sz w:val="20"/>
                <w:szCs w:val="20"/>
              </w:rPr>
              <w:t>314</w:t>
            </w:r>
          </w:p>
        </w:tc>
        <w:tc>
          <w:tcPr>
            <w:tcW w:w="1139" w:type="dxa"/>
            <w:vAlign w:val="center"/>
          </w:tcPr>
          <w:p w14:paraId="42627AF6" w14:textId="77777777" w:rsidR="00CF3A0A" w:rsidRPr="00C92AFC" w:rsidRDefault="00CF3A0A" w:rsidP="00016204">
            <w:pPr>
              <w:pStyle w:val="ListParagraph"/>
              <w:ind w:left="0"/>
              <w:jc w:val="center"/>
              <w:rPr>
                <w:b/>
                <w:sz w:val="20"/>
                <w:szCs w:val="20"/>
              </w:rPr>
            </w:pPr>
            <w:r>
              <w:rPr>
                <w:color w:val="000000"/>
                <w:sz w:val="20"/>
                <w:szCs w:val="20"/>
              </w:rPr>
              <w:t>0</w:t>
            </w:r>
          </w:p>
        </w:tc>
        <w:tc>
          <w:tcPr>
            <w:tcW w:w="1139" w:type="dxa"/>
            <w:vAlign w:val="center"/>
          </w:tcPr>
          <w:p w14:paraId="5713F5E0" w14:textId="77777777" w:rsidR="00CF3A0A" w:rsidRPr="00C92AFC" w:rsidRDefault="00CF3A0A" w:rsidP="00016204">
            <w:pPr>
              <w:pStyle w:val="ListParagraph"/>
              <w:ind w:left="0"/>
              <w:jc w:val="center"/>
              <w:rPr>
                <w:b/>
                <w:sz w:val="20"/>
                <w:szCs w:val="20"/>
              </w:rPr>
            </w:pPr>
            <w:r>
              <w:rPr>
                <w:color w:val="000000"/>
                <w:sz w:val="20"/>
                <w:szCs w:val="20"/>
              </w:rPr>
              <w:t>0</w:t>
            </w:r>
          </w:p>
        </w:tc>
        <w:tc>
          <w:tcPr>
            <w:tcW w:w="1021" w:type="dxa"/>
            <w:vAlign w:val="center"/>
          </w:tcPr>
          <w:p w14:paraId="33CC694B" w14:textId="77777777" w:rsidR="00CF3A0A" w:rsidRPr="00C92AFC" w:rsidRDefault="00CF3A0A" w:rsidP="00016204">
            <w:pPr>
              <w:pStyle w:val="ListParagraph"/>
              <w:ind w:left="0"/>
              <w:jc w:val="center"/>
              <w:rPr>
                <w:b/>
                <w:sz w:val="20"/>
                <w:szCs w:val="20"/>
              </w:rPr>
            </w:pPr>
            <w:r>
              <w:rPr>
                <w:color w:val="000000"/>
                <w:sz w:val="20"/>
                <w:szCs w:val="20"/>
              </w:rPr>
              <w:t>0</w:t>
            </w:r>
          </w:p>
        </w:tc>
        <w:tc>
          <w:tcPr>
            <w:tcW w:w="998" w:type="dxa"/>
            <w:vAlign w:val="center"/>
          </w:tcPr>
          <w:p w14:paraId="43F030B2" w14:textId="77777777" w:rsidR="00CF3A0A" w:rsidRPr="00C92AFC" w:rsidRDefault="00CF3A0A" w:rsidP="00016204">
            <w:pPr>
              <w:pStyle w:val="ListParagraph"/>
              <w:ind w:left="0"/>
              <w:jc w:val="center"/>
              <w:rPr>
                <w:b/>
                <w:sz w:val="20"/>
                <w:szCs w:val="20"/>
              </w:rPr>
            </w:pPr>
            <w:r>
              <w:rPr>
                <w:color w:val="000000"/>
                <w:sz w:val="20"/>
                <w:szCs w:val="20"/>
              </w:rPr>
              <w:t>0</w:t>
            </w:r>
          </w:p>
        </w:tc>
        <w:tc>
          <w:tcPr>
            <w:tcW w:w="984" w:type="dxa"/>
            <w:vAlign w:val="center"/>
          </w:tcPr>
          <w:p w14:paraId="7088FD52" w14:textId="77777777" w:rsidR="00CF3A0A" w:rsidRPr="00C92AFC" w:rsidRDefault="00CF3A0A" w:rsidP="00016204">
            <w:pPr>
              <w:pStyle w:val="ListParagraph"/>
              <w:ind w:left="0"/>
              <w:jc w:val="center"/>
              <w:rPr>
                <w:b/>
                <w:sz w:val="20"/>
                <w:szCs w:val="20"/>
              </w:rPr>
            </w:pPr>
            <w:r>
              <w:rPr>
                <w:color w:val="000000"/>
                <w:sz w:val="20"/>
                <w:szCs w:val="20"/>
              </w:rPr>
              <w:t>0</w:t>
            </w:r>
          </w:p>
        </w:tc>
        <w:tc>
          <w:tcPr>
            <w:tcW w:w="1017" w:type="dxa"/>
            <w:vAlign w:val="center"/>
          </w:tcPr>
          <w:p w14:paraId="526B18C4" w14:textId="77777777" w:rsidR="00CF3A0A" w:rsidRPr="00C92AFC" w:rsidRDefault="00CF3A0A" w:rsidP="00016204">
            <w:pPr>
              <w:pStyle w:val="ListParagraph"/>
              <w:ind w:left="0"/>
              <w:jc w:val="center"/>
              <w:rPr>
                <w:b/>
                <w:sz w:val="20"/>
                <w:szCs w:val="20"/>
              </w:rPr>
            </w:pPr>
            <w:r>
              <w:rPr>
                <w:color w:val="000000"/>
                <w:sz w:val="20"/>
                <w:szCs w:val="20"/>
              </w:rPr>
              <w:t>40,016</w:t>
            </w:r>
          </w:p>
        </w:tc>
      </w:tr>
      <w:tr w:rsidR="00CF3A0A" w14:paraId="4E8484F2" w14:textId="77777777" w:rsidTr="00016204">
        <w:tc>
          <w:tcPr>
            <w:tcW w:w="1094" w:type="dxa"/>
            <w:vAlign w:val="center"/>
          </w:tcPr>
          <w:p w14:paraId="6DE53671" w14:textId="77777777" w:rsidR="00CF3A0A" w:rsidRPr="00C92AFC" w:rsidRDefault="00CF3A0A" w:rsidP="00016204">
            <w:pPr>
              <w:pStyle w:val="ListParagraph"/>
              <w:ind w:left="0"/>
              <w:jc w:val="center"/>
              <w:rPr>
                <w:b/>
                <w:sz w:val="20"/>
                <w:szCs w:val="20"/>
              </w:rPr>
            </w:pPr>
            <w:r w:rsidRPr="00C92AFC">
              <w:rPr>
                <w:color w:val="000000"/>
                <w:sz w:val="20"/>
                <w:szCs w:val="20"/>
              </w:rPr>
              <w:t>2010</w:t>
            </w:r>
          </w:p>
        </w:tc>
        <w:tc>
          <w:tcPr>
            <w:tcW w:w="981" w:type="dxa"/>
            <w:vAlign w:val="center"/>
          </w:tcPr>
          <w:p w14:paraId="0D666D7D" w14:textId="77777777" w:rsidR="00CF3A0A" w:rsidRPr="00C92AFC" w:rsidRDefault="00CF3A0A" w:rsidP="00016204">
            <w:pPr>
              <w:pStyle w:val="ListParagraph"/>
              <w:ind w:left="0"/>
              <w:jc w:val="center"/>
              <w:rPr>
                <w:b/>
                <w:sz w:val="20"/>
                <w:szCs w:val="20"/>
              </w:rPr>
            </w:pPr>
            <w:r>
              <w:rPr>
                <w:color w:val="000000"/>
                <w:sz w:val="20"/>
                <w:szCs w:val="20"/>
              </w:rPr>
              <w:t>37,548</w:t>
            </w:r>
          </w:p>
        </w:tc>
        <w:tc>
          <w:tcPr>
            <w:tcW w:w="977" w:type="dxa"/>
            <w:vAlign w:val="center"/>
          </w:tcPr>
          <w:p w14:paraId="2D82FF32" w14:textId="77777777" w:rsidR="00CF3A0A" w:rsidRPr="00C92AFC" w:rsidRDefault="00CF3A0A" w:rsidP="00016204">
            <w:pPr>
              <w:pStyle w:val="ListParagraph"/>
              <w:ind w:left="0"/>
              <w:jc w:val="center"/>
              <w:rPr>
                <w:b/>
                <w:sz w:val="20"/>
                <w:szCs w:val="20"/>
              </w:rPr>
            </w:pPr>
            <w:r>
              <w:rPr>
                <w:color w:val="000000"/>
                <w:sz w:val="20"/>
                <w:szCs w:val="20"/>
              </w:rPr>
              <w:t>0</w:t>
            </w:r>
          </w:p>
        </w:tc>
        <w:tc>
          <w:tcPr>
            <w:tcW w:w="1139" w:type="dxa"/>
            <w:vAlign w:val="center"/>
          </w:tcPr>
          <w:p w14:paraId="1584F024" w14:textId="77777777" w:rsidR="00CF3A0A" w:rsidRPr="00C92AFC" w:rsidRDefault="00CF3A0A" w:rsidP="00016204">
            <w:pPr>
              <w:pStyle w:val="ListParagraph"/>
              <w:ind w:left="0"/>
              <w:jc w:val="center"/>
              <w:rPr>
                <w:b/>
                <w:sz w:val="20"/>
                <w:szCs w:val="20"/>
              </w:rPr>
            </w:pPr>
            <w:r>
              <w:rPr>
                <w:color w:val="000000"/>
                <w:sz w:val="20"/>
                <w:szCs w:val="20"/>
              </w:rPr>
              <w:t>0</w:t>
            </w:r>
          </w:p>
        </w:tc>
        <w:tc>
          <w:tcPr>
            <w:tcW w:w="1139" w:type="dxa"/>
            <w:vAlign w:val="center"/>
          </w:tcPr>
          <w:p w14:paraId="27FD59CA" w14:textId="77777777" w:rsidR="00CF3A0A" w:rsidRPr="00C92AFC" w:rsidRDefault="00CF3A0A" w:rsidP="00016204">
            <w:pPr>
              <w:pStyle w:val="ListParagraph"/>
              <w:ind w:left="0"/>
              <w:jc w:val="center"/>
              <w:rPr>
                <w:b/>
                <w:sz w:val="20"/>
                <w:szCs w:val="20"/>
              </w:rPr>
            </w:pPr>
            <w:r>
              <w:rPr>
                <w:color w:val="000000"/>
                <w:sz w:val="20"/>
                <w:szCs w:val="20"/>
              </w:rPr>
              <w:t>0</w:t>
            </w:r>
          </w:p>
        </w:tc>
        <w:tc>
          <w:tcPr>
            <w:tcW w:w="1021" w:type="dxa"/>
            <w:vAlign w:val="center"/>
          </w:tcPr>
          <w:p w14:paraId="3D6A6383" w14:textId="77777777" w:rsidR="00CF3A0A" w:rsidRPr="00C92AFC" w:rsidRDefault="00CF3A0A" w:rsidP="00016204">
            <w:pPr>
              <w:pStyle w:val="ListParagraph"/>
              <w:ind w:left="0"/>
              <w:jc w:val="center"/>
              <w:rPr>
                <w:b/>
                <w:sz w:val="20"/>
                <w:szCs w:val="20"/>
              </w:rPr>
            </w:pPr>
            <w:r>
              <w:rPr>
                <w:color w:val="000000"/>
                <w:sz w:val="20"/>
                <w:szCs w:val="20"/>
              </w:rPr>
              <w:t>0</w:t>
            </w:r>
          </w:p>
        </w:tc>
        <w:tc>
          <w:tcPr>
            <w:tcW w:w="998" w:type="dxa"/>
            <w:vAlign w:val="center"/>
          </w:tcPr>
          <w:p w14:paraId="35787D38" w14:textId="77777777" w:rsidR="00CF3A0A" w:rsidRPr="00C92AFC" w:rsidRDefault="00CF3A0A" w:rsidP="00016204">
            <w:pPr>
              <w:pStyle w:val="ListParagraph"/>
              <w:ind w:left="0"/>
              <w:jc w:val="center"/>
              <w:rPr>
                <w:b/>
                <w:sz w:val="20"/>
                <w:szCs w:val="20"/>
              </w:rPr>
            </w:pPr>
            <w:r>
              <w:rPr>
                <w:color w:val="000000"/>
                <w:sz w:val="20"/>
                <w:szCs w:val="20"/>
              </w:rPr>
              <w:t>0</w:t>
            </w:r>
          </w:p>
        </w:tc>
        <w:tc>
          <w:tcPr>
            <w:tcW w:w="984" w:type="dxa"/>
            <w:vAlign w:val="center"/>
          </w:tcPr>
          <w:p w14:paraId="6A68A502" w14:textId="77777777" w:rsidR="00CF3A0A" w:rsidRPr="00C92AFC" w:rsidRDefault="00CF3A0A" w:rsidP="00016204">
            <w:pPr>
              <w:pStyle w:val="ListParagraph"/>
              <w:ind w:left="0"/>
              <w:jc w:val="center"/>
              <w:rPr>
                <w:b/>
                <w:sz w:val="20"/>
                <w:szCs w:val="20"/>
              </w:rPr>
            </w:pPr>
            <w:r>
              <w:rPr>
                <w:color w:val="000000"/>
                <w:sz w:val="20"/>
                <w:szCs w:val="20"/>
              </w:rPr>
              <w:t>0</w:t>
            </w:r>
          </w:p>
        </w:tc>
        <w:tc>
          <w:tcPr>
            <w:tcW w:w="1017" w:type="dxa"/>
            <w:vAlign w:val="center"/>
          </w:tcPr>
          <w:p w14:paraId="4B8F2B7F" w14:textId="77777777" w:rsidR="00CF3A0A" w:rsidRPr="00C92AFC" w:rsidRDefault="00CF3A0A" w:rsidP="00016204">
            <w:pPr>
              <w:pStyle w:val="ListParagraph"/>
              <w:ind w:left="0"/>
              <w:jc w:val="center"/>
              <w:rPr>
                <w:b/>
                <w:sz w:val="20"/>
                <w:szCs w:val="20"/>
              </w:rPr>
            </w:pPr>
            <w:r>
              <w:rPr>
                <w:color w:val="000000"/>
                <w:sz w:val="20"/>
                <w:szCs w:val="20"/>
              </w:rPr>
              <w:t>37,548</w:t>
            </w:r>
          </w:p>
        </w:tc>
      </w:tr>
      <w:tr w:rsidR="00CF3A0A" w14:paraId="49681446" w14:textId="77777777" w:rsidTr="00016204">
        <w:tc>
          <w:tcPr>
            <w:tcW w:w="1094" w:type="dxa"/>
            <w:vAlign w:val="center"/>
          </w:tcPr>
          <w:p w14:paraId="4CED21A3" w14:textId="77777777" w:rsidR="00CF3A0A" w:rsidRPr="00C92AFC" w:rsidRDefault="00CF3A0A" w:rsidP="00016204">
            <w:pPr>
              <w:pStyle w:val="ListParagraph"/>
              <w:ind w:left="0"/>
              <w:jc w:val="center"/>
              <w:rPr>
                <w:b/>
                <w:sz w:val="20"/>
                <w:szCs w:val="20"/>
              </w:rPr>
            </w:pPr>
            <w:r w:rsidRPr="00C92AFC">
              <w:rPr>
                <w:color w:val="000000"/>
                <w:sz w:val="20"/>
                <w:szCs w:val="20"/>
              </w:rPr>
              <w:t>2011</w:t>
            </w:r>
          </w:p>
        </w:tc>
        <w:tc>
          <w:tcPr>
            <w:tcW w:w="981" w:type="dxa"/>
            <w:vAlign w:val="center"/>
          </w:tcPr>
          <w:p w14:paraId="40304F5E" w14:textId="77777777" w:rsidR="00CF3A0A" w:rsidRPr="00C92AFC" w:rsidRDefault="00CF3A0A" w:rsidP="00016204">
            <w:pPr>
              <w:pStyle w:val="ListParagraph"/>
              <w:ind w:left="0"/>
              <w:jc w:val="center"/>
              <w:rPr>
                <w:b/>
                <w:sz w:val="20"/>
                <w:szCs w:val="20"/>
              </w:rPr>
            </w:pPr>
            <w:r>
              <w:rPr>
                <w:color w:val="000000"/>
                <w:sz w:val="20"/>
                <w:szCs w:val="20"/>
              </w:rPr>
              <w:t>27,214</w:t>
            </w:r>
          </w:p>
        </w:tc>
        <w:tc>
          <w:tcPr>
            <w:tcW w:w="977" w:type="dxa"/>
            <w:vAlign w:val="center"/>
          </w:tcPr>
          <w:p w14:paraId="1861AB3B" w14:textId="77777777" w:rsidR="00CF3A0A" w:rsidRPr="00C92AFC" w:rsidRDefault="00CF3A0A" w:rsidP="00016204">
            <w:pPr>
              <w:pStyle w:val="ListParagraph"/>
              <w:ind w:left="0"/>
              <w:jc w:val="center"/>
              <w:rPr>
                <w:b/>
                <w:sz w:val="20"/>
                <w:szCs w:val="20"/>
              </w:rPr>
            </w:pPr>
            <w:r>
              <w:rPr>
                <w:color w:val="000000"/>
                <w:sz w:val="20"/>
                <w:szCs w:val="20"/>
              </w:rPr>
              <w:t>0</w:t>
            </w:r>
          </w:p>
        </w:tc>
        <w:tc>
          <w:tcPr>
            <w:tcW w:w="1139" w:type="dxa"/>
            <w:vAlign w:val="center"/>
          </w:tcPr>
          <w:p w14:paraId="75F2C75A" w14:textId="77777777" w:rsidR="00CF3A0A" w:rsidRPr="00C92AFC" w:rsidRDefault="00CF3A0A" w:rsidP="00016204">
            <w:pPr>
              <w:pStyle w:val="ListParagraph"/>
              <w:ind w:left="0"/>
              <w:jc w:val="center"/>
              <w:rPr>
                <w:b/>
                <w:sz w:val="20"/>
                <w:szCs w:val="20"/>
              </w:rPr>
            </w:pPr>
            <w:r>
              <w:rPr>
                <w:color w:val="000000"/>
                <w:sz w:val="20"/>
                <w:szCs w:val="20"/>
              </w:rPr>
              <w:t>0</w:t>
            </w:r>
          </w:p>
        </w:tc>
        <w:tc>
          <w:tcPr>
            <w:tcW w:w="1139" w:type="dxa"/>
            <w:vAlign w:val="center"/>
          </w:tcPr>
          <w:p w14:paraId="7DD6CE7D" w14:textId="77777777" w:rsidR="00CF3A0A" w:rsidRPr="00C92AFC" w:rsidRDefault="00CF3A0A" w:rsidP="00016204">
            <w:pPr>
              <w:pStyle w:val="ListParagraph"/>
              <w:ind w:left="0"/>
              <w:jc w:val="center"/>
              <w:rPr>
                <w:b/>
                <w:sz w:val="20"/>
                <w:szCs w:val="20"/>
              </w:rPr>
            </w:pPr>
            <w:r>
              <w:rPr>
                <w:color w:val="000000"/>
                <w:sz w:val="20"/>
                <w:szCs w:val="20"/>
              </w:rPr>
              <w:t>0</w:t>
            </w:r>
          </w:p>
        </w:tc>
        <w:tc>
          <w:tcPr>
            <w:tcW w:w="1021" w:type="dxa"/>
            <w:vAlign w:val="center"/>
          </w:tcPr>
          <w:p w14:paraId="34BC88EC" w14:textId="77777777" w:rsidR="00CF3A0A" w:rsidRPr="00C92AFC" w:rsidRDefault="00CF3A0A" w:rsidP="00016204">
            <w:pPr>
              <w:pStyle w:val="ListParagraph"/>
              <w:ind w:left="0"/>
              <w:jc w:val="center"/>
              <w:rPr>
                <w:b/>
                <w:sz w:val="20"/>
                <w:szCs w:val="20"/>
              </w:rPr>
            </w:pPr>
            <w:r>
              <w:rPr>
                <w:color w:val="000000"/>
                <w:sz w:val="20"/>
                <w:szCs w:val="20"/>
              </w:rPr>
              <w:t>0</w:t>
            </w:r>
          </w:p>
        </w:tc>
        <w:tc>
          <w:tcPr>
            <w:tcW w:w="998" w:type="dxa"/>
            <w:vAlign w:val="center"/>
          </w:tcPr>
          <w:p w14:paraId="3FDD94C9" w14:textId="77777777" w:rsidR="00CF3A0A" w:rsidRPr="00C92AFC" w:rsidRDefault="00CF3A0A" w:rsidP="00016204">
            <w:pPr>
              <w:pStyle w:val="ListParagraph"/>
              <w:ind w:left="0"/>
              <w:jc w:val="center"/>
              <w:rPr>
                <w:b/>
                <w:sz w:val="20"/>
                <w:szCs w:val="20"/>
              </w:rPr>
            </w:pPr>
            <w:r>
              <w:rPr>
                <w:color w:val="000000"/>
                <w:sz w:val="20"/>
                <w:szCs w:val="20"/>
              </w:rPr>
              <w:t>0</w:t>
            </w:r>
          </w:p>
        </w:tc>
        <w:tc>
          <w:tcPr>
            <w:tcW w:w="984" w:type="dxa"/>
            <w:vAlign w:val="center"/>
          </w:tcPr>
          <w:p w14:paraId="32A1AEB3" w14:textId="77777777" w:rsidR="00CF3A0A" w:rsidRPr="00C92AFC" w:rsidRDefault="00CF3A0A" w:rsidP="00016204">
            <w:pPr>
              <w:pStyle w:val="ListParagraph"/>
              <w:ind w:left="0"/>
              <w:jc w:val="center"/>
              <w:rPr>
                <w:b/>
                <w:sz w:val="20"/>
                <w:szCs w:val="20"/>
              </w:rPr>
            </w:pPr>
            <w:r>
              <w:rPr>
                <w:color w:val="000000"/>
                <w:sz w:val="20"/>
                <w:szCs w:val="20"/>
              </w:rPr>
              <w:t>0</w:t>
            </w:r>
          </w:p>
        </w:tc>
        <w:tc>
          <w:tcPr>
            <w:tcW w:w="1017" w:type="dxa"/>
            <w:vAlign w:val="center"/>
          </w:tcPr>
          <w:p w14:paraId="7FB7CE08" w14:textId="77777777" w:rsidR="00CF3A0A" w:rsidRPr="00C92AFC" w:rsidRDefault="00CF3A0A" w:rsidP="00016204">
            <w:pPr>
              <w:pStyle w:val="ListParagraph"/>
              <w:ind w:left="0"/>
              <w:jc w:val="center"/>
              <w:rPr>
                <w:b/>
                <w:sz w:val="20"/>
                <w:szCs w:val="20"/>
              </w:rPr>
            </w:pPr>
            <w:r>
              <w:rPr>
                <w:color w:val="000000"/>
                <w:sz w:val="20"/>
                <w:szCs w:val="20"/>
              </w:rPr>
              <w:t>27,214</w:t>
            </w:r>
          </w:p>
        </w:tc>
      </w:tr>
      <w:tr w:rsidR="00CF3A0A" w14:paraId="7677693C" w14:textId="77777777" w:rsidTr="00016204">
        <w:tc>
          <w:tcPr>
            <w:tcW w:w="1094" w:type="dxa"/>
            <w:vAlign w:val="center"/>
          </w:tcPr>
          <w:p w14:paraId="38DE9593" w14:textId="77777777" w:rsidR="00CF3A0A" w:rsidRPr="00C92AFC" w:rsidRDefault="00CF3A0A" w:rsidP="00016204">
            <w:pPr>
              <w:pStyle w:val="ListParagraph"/>
              <w:ind w:left="0"/>
              <w:jc w:val="center"/>
              <w:rPr>
                <w:b/>
                <w:sz w:val="20"/>
                <w:szCs w:val="20"/>
              </w:rPr>
            </w:pPr>
            <w:r w:rsidRPr="00C92AFC">
              <w:rPr>
                <w:color w:val="000000"/>
                <w:sz w:val="20"/>
                <w:szCs w:val="20"/>
              </w:rPr>
              <w:t>2012</w:t>
            </w:r>
          </w:p>
        </w:tc>
        <w:tc>
          <w:tcPr>
            <w:tcW w:w="981" w:type="dxa"/>
            <w:vAlign w:val="center"/>
          </w:tcPr>
          <w:p w14:paraId="4E1D0191" w14:textId="77777777" w:rsidR="00CF3A0A" w:rsidRPr="00C92AFC" w:rsidRDefault="00CF3A0A" w:rsidP="00016204">
            <w:pPr>
              <w:pStyle w:val="ListParagraph"/>
              <w:ind w:left="0"/>
              <w:jc w:val="center"/>
              <w:rPr>
                <w:b/>
                <w:sz w:val="20"/>
                <w:szCs w:val="20"/>
              </w:rPr>
            </w:pPr>
            <w:r>
              <w:rPr>
                <w:color w:val="000000"/>
                <w:sz w:val="20"/>
                <w:szCs w:val="20"/>
              </w:rPr>
              <w:t>43,813</w:t>
            </w:r>
          </w:p>
        </w:tc>
        <w:tc>
          <w:tcPr>
            <w:tcW w:w="977" w:type="dxa"/>
            <w:vAlign w:val="center"/>
          </w:tcPr>
          <w:p w14:paraId="49D1F75C" w14:textId="77777777" w:rsidR="00CF3A0A" w:rsidRPr="00C92AFC" w:rsidRDefault="00CF3A0A" w:rsidP="00016204">
            <w:pPr>
              <w:pStyle w:val="ListParagraph"/>
              <w:ind w:left="0"/>
              <w:jc w:val="center"/>
              <w:rPr>
                <w:b/>
                <w:sz w:val="20"/>
                <w:szCs w:val="20"/>
              </w:rPr>
            </w:pPr>
            <w:r>
              <w:rPr>
                <w:color w:val="000000"/>
                <w:sz w:val="20"/>
                <w:szCs w:val="20"/>
              </w:rPr>
              <w:t>314</w:t>
            </w:r>
          </w:p>
        </w:tc>
        <w:tc>
          <w:tcPr>
            <w:tcW w:w="1139" w:type="dxa"/>
            <w:vAlign w:val="center"/>
          </w:tcPr>
          <w:p w14:paraId="170B5C8A" w14:textId="77777777" w:rsidR="00CF3A0A" w:rsidRPr="00C92AFC" w:rsidRDefault="00CF3A0A" w:rsidP="00016204">
            <w:pPr>
              <w:pStyle w:val="ListParagraph"/>
              <w:ind w:left="0"/>
              <w:jc w:val="center"/>
              <w:rPr>
                <w:b/>
                <w:sz w:val="20"/>
                <w:szCs w:val="20"/>
              </w:rPr>
            </w:pPr>
            <w:r>
              <w:rPr>
                <w:color w:val="000000"/>
                <w:sz w:val="20"/>
                <w:szCs w:val="20"/>
              </w:rPr>
              <w:t>19,660</w:t>
            </w:r>
          </w:p>
        </w:tc>
        <w:tc>
          <w:tcPr>
            <w:tcW w:w="1139" w:type="dxa"/>
            <w:vAlign w:val="center"/>
          </w:tcPr>
          <w:p w14:paraId="29E9E4FD" w14:textId="77777777" w:rsidR="00CF3A0A" w:rsidRPr="00C92AFC" w:rsidRDefault="00CF3A0A" w:rsidP="00016204">
            <w:pPr>
              <w:pStyle w:val="ListParagraph"/>
              <w:ind w:left="0"/>
              <w:jc w:val="center"/>
              <w:rPr>
                <w:b/>
                <w:sz w:val="20"/>
                <w:szCs w:val="20"/>
              </w:rPr>
            </w:pPr>
            <w:r>
              <w:rPr>
                <w:color w:val="000000"/>
                <w:sz w:val="20"/>
                <w:szCs w:val="20"/>
              </w:rPr>
              <w:t>4,370</w:t>
            </w:r>
          </w:p>
        </w:tc>
        <w:tc>
          <w:tcPr>
            <w:tcW w:w="1021" w:type="dxa"/>
            <w:vAlign w:val="center"/>
          </w:tcPr>
          <w:p w14:paraId="0D0282FF" w14:textId="77777777" w:rsidR="00CF3A0A" w:rsidRPr="00C92AFC" w:rsidRDefault="00CF3A0A" w:rsidP="00016204">
            <w:pPr>
              <w:pStyle w:val="ListParagraph"/>
              <w:ind w:left="0"/>
              <w:jc w:val="center"/>
              <w:rPr>
                <w:b/>
                <w:sz w:val="20"/>
                <w:szCs w:val="20"/>
              </w:rPr>
            </w:pPr>
            <w:r>
              <w:rPr>
                <w:color w:val="000000"/>
                <w:sz w:val="20"/>
                <w:szCs w:val="20"/>
              </w:rPr>
              <w:t>0</w:t>
            </w:r>
          </w:p>
        </w:tc>
        <w:tc>
          <w:tcPr>
            <w:tcW w:w="998" w:type="dxa"/>
            <w:vAlign w:val="center"/>
          </w:tcPr>
          <w:p w14:paraId="3468363F" w14:textId="77777777" w:rsidR="00CF3A0A" w:rsidRPr="00C92AFC" w:rsidRDefault="00CF3A0A" w:rsidP="00016204">
            <w:pPr>
              <w:pStyle w:val="ListParagraph"/>
              <w:ind w:left="0"/>
              <w:jc w:val="center"/>
              <w:rPr>
                <w:b/>
                <w:sz w:val="20"/>
                <w:szCs w:val="20"/>
              </w:rPr>
            </w:pPr>
            <w:r>
              <w:rPr>
                <w:color w:val="000000"/>
                <w:sz w:val="20"/>
                <w:szCs w:val="20"/>
              </w:rPr>
              <w:t>0</w:t>
            </w:r>
          </w:p>
        </w:tc>
        <w:tc>
          <w:tcPr>
            <w:tcW w:w="984" w:type="dxa"/>
            <w:vAlign w:val="center"/>
          </w:tcPr>
          <w:p w14:paraId="1CF5DEEA" w14:textId="77777777" w:rsidR="00CF3A0A" w:rsidRPr="00C92AFC" w:rsidRDefault="00CF3A0A" w:rsidP="00016204">
            <w:pPr>
              <w:pStyle w:val="ListParagraph"/>
              <w:ind w:left="0"/>
              <w:jc w:val="center"/>
              <w:rPr>
                <w:b/>
                <w:sz w:val="20"/>
                <w:szCs w:val="20"/>
              </w:rPr>
            </w:pPr>
            <w:r>
              <w:rPr>
                <w:color w:val="000000"/>
                <w:sz w:val="20"/>
                <w:szCs w:val="20"/>
              </w:rPr>
              <w:t>0</w:t>
            </w:r>
          </w:p>
        </w:tc>
        <w:tc>
          <w:tcPr>
            <w:tcW w:w="1017" w:type="dxa"/>
            <w:vAlign w:val="center"/>
          </w:tcPr>
          <w:p w14:paraId="1F756A30" w14:textId="77777777" w:rsidR="00CF3A0A" w:rsidRPr="00C92AFC" w:rsidRDefault="00CF3A0A" w:rsidP="00016204">
            <w:pPr>
              <w:pStyle w:val="ListParagraph"/>
              <w:ind w:left="0"/>
              <w:jc w:val="center"/>
              <w:rPr>
                <w:b/>
                <w:sz w:val="20"/>
                <w:szCs w:val="20"/>
              </w:rPr>
            </w:pPr>
            <w:r>
              <w:rPr>
                <w:color w:val="000000"/>
                <w:sz w:val="20"/>
                <w:szCs w:val="20"/>
              </w:rPr>
              <w:t>68,157</w:t>
            </w:r>
          </w:p>
        </w:tc>
      </w:tr>
      <w:tr w:rsidR="00CF3A0A" w14:paraId="02D14BCE" w14:textId="77777777" w:rsidTr="00016204">
        <w:tc>
          <w:tcPr>
            <w:tcW w:w="1094" w:type="dxa"/>
            <w:vAlign w:val="center"/>
          </w:tcPr>
          <w:p w14:paraId="5E0D0CAB" w14:textId="77777777" w:rsidR="00CF3A0A" w:rsidRPr="00C92AFC" w:rsidRDefault="00CF3A0A" w:rsidP="00016204">
            <w:pPr>
              <w:pStyle w:val="ListParagraph"/>
              <w:ind w:left="0"/>
              <w:jc w:val="center"/>
              <w:rPr>
                <w:b/>
                <w:sz w:val="20"/>
                <w:szCs w:val="20"/>
              </w:rPr>
            </w:pPr>
            <w:r w:rsidRPr="00C92AFC">
              <w:rPr>
                <w:color w:val="000000"/>
                <w:sz w:val="20"/>
                <w:szCs w:val="20"/>
              </w:rPr>
              <w:t>2013</w:t>
            </w:r>
          </w:p>
        </w:tc>
        <w:tc>
          <w:tcPr>
            <w:tcW w:w="981" w:type="dxa"/>
            <w:vAlign w:val="center"/>
          </w:tcPr>
          <w:p w14:paraId="35ABEF49" w14:textId="77777777" w:rsidR="00CF3A0A" w:rsidRPr="00C92AFC" w:rsidRDefault="00CF3A0A" w:rsidP="00016204">
            <w:pPr>
              <w:pStyle w:val="ListParagraph"/>
              <w:ind w:left="0"/>
              <w:jc w:val="center"/>
              <w:rPr>
                <w:b/>
                <w:sz w:val="20"/>
                <w:szCs w:val="20"/>
              </w:rPr>
            </w:pPr>
            <w:r>
              <w:rPr>
                <w:color w:val="000000"/>
                <w:sz w:val="20"/>
                <w:szCs w:val="20"/>
              </w:rPr>
              <w:t>39,566</w:t>
            </w:r>
          </w:p>
        </w:tc>
        <w:tc>
          <w:tcPr>
            <w:tcW w:w="977" w:type="dxa"/>
            <w:vAlign w:val="center"/>
          </w:tcPr>
          <w:p w14:paraId="2007A454" w14:textId="77777777" w:rsidR="00CF3A0A" w:rsidRPr="00C92AFC" w:rsidRDefault="00CF3A0A" w:rsidP="00016204">
            <w:pPr>
              <w:pStyle w:val="ListParagraph"/>
              <w:ind w:left="0"/>
              <w:jc w:val="center"/>
              <w:rPr>
                <w:b/>
                <w:sz w:val="20"/>
                <w:szCs w:val="20"/>
              </w:rPr>
            </w:pPr>
            <w:r>
              <w:rPr>
                <w:color w:val="000000"/>
                <w:sz w:val="20"/>
                <w:szCs w:val="20"/>
              </w:rPr>
              <w:t>314</w:t>
            </w:r>
          </w:p>
        </w:tc>
        <w:tc>
          <w:tcPr>
            <w:tcW w:w="1139" w:type="dxa"/>
            <w:vAlign w:val="center"/>
          </w:tcPr>
          <w:p w14:paraId="6037F811" w14:textId="77777777" w:rsidR="00CF3A0A" w:rsidRPr="00C92AFC" w:rsidRDefault="00CF3A0A" w:rsidP="00016204">
            <w:pPr>
              <w:pStyle w:val="ListParagraph"/>
              <w:ind w:left="0"/>
              <w:jc w:val="center"/>
              <w:rPr>
                <w:b/>
                <w:sz w:val="20"/>
                <w:szCs w:val="20"/>
              </w:rPr>
            </w:pPr>
            <w:r>
              <w:rPr>
                <w:color w:val="000000"/>
                <w:sz w:val="20"/>
                <w:szCs w:val="20"/>
              </w:rPr>
              <w:t>13,162</w:t>
            </w:r>
          </w:p>
        </w:tc>
        <w:tc>
          <w:tcPr>
            <w:tcW w:w="1139" w:type="dxa"/>
            <w:vAlign w:val="center"/>
          </w:tcPr>
          <w:p w14:paraId="5E347DF0" w14:textId="77777777" w:rsidR="00CF3A0A" w:rsidRPr="00C92AFC" w:rsidRDefault="00CF3A0A" w:rsidP="00016204">
            <w:pPr>
              <w:pStyle w:val="ListParagraph"/>
              <w:ind w:left="0"/>
              <w:jc w:val="center"/>
              <w:rPr>
                <w:b/>
                <w:sz w:val="20"/>
                <w:szCs w:val="20"/>
              </w:rPr>
            </w:pPr>
            <w:r>
              <w:rPr>
                <w:color w:val="000000"/>
                <w:sz w:val="20"/>
                <w:szCs w:val="20"/>
              </w:rPr>
              <w:t>4,366</w:t>
            </w:r>
          </w:p>
        </w:tc>
        <w:tc>
          <w:tcPr>
            <w:tcW w:w="1021" w:type="dxa"/>
            <w:vAlign w:val="center"/>
          </w:tcPr>
          <w:p w14:paraId="1ED05142" w14:textId="77777777" w:rsidR="00CF3A0A" w:rsidRPr="00C92AFC" w:rsidRDefault="00CF3A0A" w:rsidP="00016204">
            <w:pPr>
              <w:pStyle w:val="ListParagraph"/>
              <w:ind w:left="0"/>
              <w:jc w:val="center"/>
              <w:rPr>
                <w:b/>
                <w:sz w:val="20"/>
                <w:szCs w:val="20"/>
              </w:rPr>
            </w:pPr>
            <w:r>
              <w:rPr>
                <w:color w:val="000000"/>
                <w:sz w:val="20"/>
                <w:szCs w:val="20"/>
              </w:rPr>
              <w:t>0</w:t>
            </w:r>
          </w:p>
        </w:tc>
        <w:tc>
          <w:tcPr>
            <w:tcW w:w="998" w:type="dxa"/>
            <w:vAlign w:val="center"/>
          </w:tcPr>
          <w:p w14:paraId="38CA0820" w14:textId="77777777" w:rsidR="00CF3A0A" w:rsidRPr="00C92AFC" w:rsidRDefault="00CF3A0A" w:rsidP="00016204">
            <w:pPr>
              <w:pStyle w:val="ListParagraph"/>
              <w:ind w:left="0"/>
              <w:jc w:val="center"/>
              <w:rPr>
                <w:b/>
                <w:sz w:val="20"/>
                <w:szCs w:val="20"/>
              </w:rPr>
            </w:pPr>
            <w:r>
              <w:rPr>
                <w:color w:val="000000"/>
                <w:sz w:val="20"/>
                <w:szCs w:val="20"/>
              </w:rPr>
              <w:t>0</w:t>
            </w:r>
          </w:p>
        </w:tc>
        <w:tc>
          <w:tcPr>
            <w:tcW w:w="984" w:type="dxa"/>
            <w:vAlign w:val="center"/>
          </w:tcPr>
          <w:p w14:paraId="39A6817A" w14:textId="77777777" w:rsidR="00CF3A0A" w:rsidRPr="00C92AFC" w:rsidRDefault="00CF3A0A" w:rsidP="00016204">
            <w:pPr>
              <w:pStyle w:val="ListParagraph"/>
              <w:ind w:left="0"/>
              <w:jc w:val="center"/>
              <w:rPr>
                <w:b/>
                <w:sz w:val="20"/>
                <w:szCs w:val="20"/>
              </w:rPr>
            </w:pPr>
            <w:r>
              <w:rPr>
                <w:color w:val="000000"/>
                <w:sz w:val="20"/>
                <w:szCs w:val="20"/>
              </w:rPr>
              <w:t>0</w:t>
            </w:r>
          </w:p>
        </w:tc>
        <w:tc>
          <w:tcPr>
            <w:tcW w:w="1017" w:type="dxa"/>
            <w:vAlign w:val="center"/>
          </w:tcPr>
          <w:p w14:paraId="43C1F498" w14:textId="77777777" w:rsidR="00CF3A0A" w:rsidRPr="00C92AFC" w:rsidRDefault="00CF3A0A" w:rsidP="00016204">
            <w:pPr>
              <w:pStyle w:val="ListParagraph"/>
              <w:ind w:left="0"/>
              <w:jc w:val="center"/>
              <w:rPr>
                <w:b/>
                <w:sz w:val="20"/>
                <w:szCs w:val="20"/>
              </w:rPr>
            </w:pPr>
            <w:r>
              <w:rPr>
                <w:color w:val="000000"/>
                <w:sz w:val="20"/>
                <w:szCs w:val="20"/>
              </w:rPr>
              <w:t>57,408</w:t>
            </w:r>
          </w:p>
        </w:tc>
      </w:tr>
      <w:tr w:rsidR="00CF3A0A" w14:paraId="2EC78503" w14:textId="77777777" w:rsidTr="00016204">
        <w:tc>
          <w:tcPr>
            <w:tcW w:w="1094" w:type="dxa"/>
            <w:vAlign w:val="center"/>
          </w:tcPr>
          <w:p w14:paraId="3255D67C" w14:textId="77777777" w:rsidR="00CF3A0A" w:rsidRPr="00C92AFC" w:rsidRDefault="00CF3A0A" w:rsidP="00016204">
            <w:pPr>
              <w:pStyle w:val="ListParagraph"/>
              <w:ind w:left="0"/>
              <w:jc w:val="center"/>
              <w:rPr>
                <w:b/>
                <w:sz w:val="20"/>
                <w:szCs w:val="20"/>
              </w:rPr>
            </w:pPr>
            <w:r w:rsidRPr="00C92AFC">
              <w:rPr>
                <w:color w:val="000000"/>
                <w:sz w:val="20"/>
                <w:szCs w:val="20"/>
              </w:rPr>
              <w:t>2014</w:t>
            </w:r>
          </w:p>
        </w:tc>
        <w:tc>
          <w:tcPr>
            <w:tcW w:w="981" w:type="dxa"/>
            <w:vAlign w:val="center"/>
          </w:tcPr>
          <w:p w14:paraId="221212D1" w14:textId="77777777" w:rsidR="00CF3A0A" w:rsidRPr="00C92AFC" w:rsidRDefault="00CF3A0A" w:rsidP="00016204">
            <w:pPr>
              <w:pStyle w:val="ListParagraph"/>
              <w:ind w:left="0"/>
              <w:jc w:val="center"/>
              <w:rPr>
                <w:b/>
                <w:sz w:val="20"/>
                <w:szCs w:val="20"/>
              </w:rPr>
            </w:pPr>
            <w:r>
              <w:rPr>
                <w:color w:val="000000"/>
                <w:sz w:val="20"/>
                <w:szCs w:val="20"/>
              </w:rPr>
              <w:t>45,048</w:t>
            </w:r>
          </w:p>
        </w:tc>
        <w:tc>
          <w:tcPr>
            <w:tcW w:w="977" w:type="dxa"/>
            <w:vAlign w:val="center"/>
          </w:tcPr>
          <w:p w14:paraId="2A689626" w14:textId="77777777" w:rsidR="00CF3A0A" w:rsidRPr="00C92AFC" w:rsidRDefault="00CF3A0A" w:rsidP="00016204">
            <w:pPr>
              <w:pStyle w:val="ListParagraph"/>
              <w:ind w:left="0"/>
              <w:jc w:val="center"/>
              <w:rPr>
                <w:b/>
                <w:sz w:val="20"/>
                <w:szCs w:val="20"/>
              </w:rPr>
            </w:pPr>
            <w:r>
              <w:rPr>
                <w:color w:val="000000"/>
                <w:sz w:val="20"/>
                <w:szCs w:val="20"/>
              </w:rPr>
              <w:t>314</w:t>
            </w:r>
          </w:p>
        </w:tc>
        <w:tc>
          <w:tcPr>
            <w:tcW w:w="1139" w:type="dxa"/>
            <w:vAlign w:val="center"/>
          </w:tcPr>
          <w:p w14:paraId="0954E874" w14:textId="77777777" w:rsidR="00CF3A0A" w:rsidRPr="00C92AFC" w:rsidRDefault="00CF3A0A" w:rsidP="00016204">
            <w:pPr>
              <w:pStyle w:val="ListParagraph"/>
              <w:ind w:left="0"/>
              <w:jc w:val="center"/>
              <w:rPr>
                <w:b/>
                <w:sz w:val="20"/>
                <w:szCs w:val="20"/>
              </w:rPr>
            </w:pPr>
            <w:r>
              <w:rPr>
                <w:color w:val="000000"/>
                <w:sz w:val="20"/>
                <w:szCs w:val="20"/>
              </w:rPr>
              <w:t>28,774</w:t>
            </w:r>
          </w:p>
        </w:tc>
        <w:tc>
          <w:tcPr>
            <w:tcW w:w="1139" w:type="dxa"/>
            <w:vAlign w:val="center"/>
          </w:tcPr>
          <w:p w14:paraId="196669E8" w14:textId="77777777" w:rsidR="00CF3A0A" w:rsidRPr="00C92AFC" w:rsidRDefault="00CF3A0A" w:rsidP="00016204">
            <w:pPr>
              <w:pStyle w:val="ListParagraph"/>
              <w:ind w:left="0"/>
              <w:jc w:val="center"/>
              <w:rPr>
                <w:b/>
                <w:sz w:val="20"/>
                <w:szCs w:val="20"/>
              </w:rPr>
            </w:pPr>
            <w:r>
              <w:rPr>
                <w:color w:val="000000"/>
                <w:sz w:val="20"/>
                <w:szCs w:val="20"/>
              </w:rPr>
              <w:t>8,525</w:t>
            </w:r>
          </w:p>
        </w:tc>
        <w:tc>
          <w:tcPr>
            <w:tcW w:w="1021" w:type="dxa"/>
            <w:vAlign w:val="center"/>
          </w:tcPr>
          <w:p w14:paraId="08F9B2DD" w14:textId="77777777" w:rsidR="00CF3A0A" w:rsidRPr="00C92AFC" w:rsidRDefault="00CF3A0A" w:rsidP="00016204">
            <w:pPr>
              <w:pStyle w:val="ListParagraph"/>
              <w:ind w:left="0"/>
              <w:jc w:val="center"/>
              <w:rPr>
                <w:b/>
                <w:sz w:val="20"/>
                <w:szCs w:val="20"/>
              </w:rPr>
            </w:pPr>
            <w:r>
              <w:rPr>
                <w:color w:val="000000"/>
                <w:sz w:val="20"/>
                <w:szCs w:val="20"/>
              </w:rPr>
              <w:t>0</w:t>
            </w:r>
          </w:p>
        </w:tc>
        <w:tc>
          <w:tcPr>
            <w:tcW w:w="998" w:type="dxa"/>
            <w:vAlign w:val="center"/>
          </w:tcPr>
          <w:p w14:paraId="6E4F89FF" w14:textId="77777777" w:rsidR="00CF3A0A" w:rsidRPr="00C92AFC" w:rsidRDefault="00CF3A0A" w:rsidP="00016204">
            <w:pPr>
              <w:pStyle w:val="ListParagraph"/>
              <w:ind w:left="0"/>
              <w:jc w:val="center"/>
              <w:rPr>
                <w:b/>
                <w:sz w:val="20"/>
                <w:szCs w:val="20"/>
              </w:rPr>
            </w:pPr>
            <w:r>
              <w:rPr>
                <w:color w:val="000000"/>
                <w:sz w:val="20"/>
                <w:szCs w:val="20"/>
              </w:rPr>
              <w:t>0</w:t>
            </w:r>
          </w:p>
        </w:tc>
        <w:tc>
          <w:tcPr>
            <w:tcW w:w="984" w:type="dxa"/>
            <w:vAlign w:val="center"/>
          </w:tcPr>
          <w:p w14:paraId="7C6DE0F0" w14:textId="77777777" w:rsidR="00CF3A0A" w:rsidRPr="00C92AFC" w:rsidRDefault="00CF3A0A" w:rsidP="00016204">
            <w:pPr>
              <w:pStyle w:val="ListParagraph"/>
              <w:ind w:left="0"/>
              <w:jc w:val="center"/>
              <w:rPr>
                <w:b/>
                <w:sz w:val="20"/>
                <w:szCs w:val="20"/>
              </w:rPr>
            </w:pPr>
            <w:r>
              <w:rPr>
                <w:color w:val="000000"/>
                <w:sz w:val="20"/>
                <w:szCs w:val="20"/>
              </w:rPr>
              <w:t>0</w:t>
            </w:r>
          </w:p>
        </w:tc>
        <w:tc>
          <w:tcPr>
            <w:tcW w:w="1017" w:type="dxa"/>
            <w:vAlign w:val="center"/>
          </w:tcPr>
          <w:p w14:paraId="1E5B4735" w14:textId="77777777" w:rsidR="00CF3A0A" w:rsidRPr="00C92AFC" w:rsidRDefault="00CF3A0A" w:rsidP="00016204">
            <w:pPr>
              <w:pStyle w:val="ListParagraph"/>
              <w:ind w:left="0"/>
              <w:jc w:val="center"/>
              <w:rPr>
                <w:b/>
                <w:sz w:val="20"/>
                <w:szCs w:val="20"/>
              </w:rPr>
            </w:pPr>
            <w:r>
              <w:rPr>
                <w:color w:val="000000"/>
                <w:sz w:val="20"/>
                <w:szCs w:val="20"/>
              </w:rPr>
              <w:t>82,662</w:t>
            </w:r>
          </w:p>
        </w:tc>
      </w:tr>
      <w:tr w:rsidR="00CF3A0A" w14:paraId="5C7D5D47" w14:textId="77777777" w:rsidTr="00016204">
        <w:tc>
          <w:tcPr>
            <w:tcW w:w="1094" w:type="dxa"/>
            <w:vAlign w:val="center"/>
          </w:tcPr>
          <w:p w14:paraId="374685E1" w14:textId="77777777" w:rsidR="00CF3A0A" w:rsidRPr="00C92AFC" w:rsidRDefault="00CF3A0A" w:rsidP="00016204">
            <w:pPr>
              <w:pStyle w:val="ListParagraph"/>
              <w:ind w:left="0"/>
              <w:jc w:val="center"/>
              <w:rPr>
                <w:b/>
                <w:sz w:val="20"/>
                <w:szCs w:val="20"/>
              </w:rPr>
            </w:pPr>
            <w:r w:rsidRPr="00C92AFC">
              <w:rPr>
                <w:color w:val="000000"/>
                <w:sz w:val="20"/>
                <w:szCs w:val="20"/>
              </w:rPr>
              <w:t>2015</w:t>
            </w:r>
          </w:p>
        </w:tc>
        <w:tc>
          <w:tcPr>
            <w:tcW w:w="981" w:type="dxa"/>
            <w:vAlign w:val="center"/>
          </w:tcPr>
          <w:p w14:paraId="278ACEA6" w14:textId="77777777" w:rsidR="00CF3A0A" w:rsidRPr="00C92AFC" w:rsidRDefault="00CF3A0A" w:rsidP="00016204">
            <w:pPr>
              <w:pStyle w:val="ListParagraph"/>
              <w:ind w:left="0"/>
              <w:jc w:val="center"/>
              <w:rPr>
                <w:b/>
                <w:sz w:val="20"/>
                <w:szCs w:val="20"/>
              </w:rPr>
            </w:pPr>
            <w:r>
              <w:rPr>
                <w:color w:val="000000"/>
                <w:sz w:val="20"/>
                <w:szCs w:val="20"/>
              </w:rPr>
              <w:t>49,317</w:t>
            </w:r>
          </w:p>
        </w:tc>
        <w:tc>
          <w:tcPr>
            <w:tcW w:w="977" w:type="dxa"/>
            <w:vAlign w:val="center"/>
          </w:tcPr>
          <w:p w14:paraId="13267BD7" w14:textId="77777777" w:rsidR="00CF3A0A" w:rsidRPr="00C92AFC" w:rsidRDefault="00CF3A0A" w:rsidP="00016204">
            <w:pPr>
              <w:pStyle w:val="ListParagraph"/>
              <w:ind w:left="0"/>
              <w:jc w:val="center"/>
              <w:rPr>
                <w:b/>
                <w:sz w:val="20"/>
                <w:szCs w:val="20"/>
              </w:rPr>
            </w:pPr>
            <w:r>
              <w:rPr>
                <w:color w:val="000000"/>
                <w:sz w:val="20"/>
                <w:szCs w:val="20"/>
              </w:rPr>
              <w:t>314</w:t>
            </w:r>
          </w:p>
        </w:tc>
        <w:tc>
          <w:tcPr>
            <w:tcW w:w="1139" w:type="dxa"/>
            <w:vAlign w:val="center"/>
          </w:tcPr>
          <w:p w14:paraId="4669B029" w14:textId="77777777" w:rsidR="00CF3A0A" w:rsidRPr="00C92AFC" w:rsidRDefault="00CF3A0A" w:rsidP="00016204">
            <w:pPr>
              <w:pStyle w:val="ListParagraph"/>
              <w:ind w:left="0"/>
              <w:jc w:val="center"/>
              <w:rPr>
                <w:b/>
                <w:sz w:val="20"/>
                <w:szCs w:val="20"/>
              </w:rPr>
            </w:pPr>
            <w:r>
              <w:rPr>
                <w:color w:val="000000"/>
                <w:sz w:val="20"/>
                <w:szCs w:val="20"/>
              </w:rPr>
              <w:t>29,542</w:t>
            </w:r>
          </w:p>
        </w:tc>
        <w:tc>
          <w:tcPr>
            <w:tcW w:w="1139" w:type="dxa"/>
            <w:vAlign w:val="center"/>
          </w:tcPr>
          <w:p w14:paraId="5F97F28E" w14:textId="77777777" w:rsidR="00CF3A0A" w:rsidRPr="00C92AFC" w:rsidRDefault="00CF3A0A" w:rsidP="00016204">
            <w:pPr>
              <w:pStyle w:val="ListParagraph"/>
              <w:ind w:left="0"/>
              <w:jc w:val="center"/>
              <w:rPr>
                <w:b/>
                <w:sz w:val="20"/>
                <w:szCs w:val="20"/>
              </w:rPr>
            </w:pPr>
            <w:r>
              <w:rPr>
                <w:color w:val="000000"/>
                <w:sz w:val="20"/>
                <w:szCs w:val="20"/>
              </w:rPr>
              <w:t>8,806</w:t>
            </w:r>
          </w:p>
        </w:tc>
        <w:tc>
          <w:tcPr>
            <w:tcW w:w="1021" w:type="dxa"/>
            <w:vAlign w:val="center"/>
          </w:tcPr>
          <w:p w14:paraId="63410D5F" w14:textId="77777777" w:rsidR="00CF3A0A" w:rsidRPr="00C92AFC" w:rsidRDefault="00CF3A0A" w:rsidP="00016204">
            <w:pPr>
              <w:pStyle w:val="ListParagraph"/>
              <w:ind w:left="0"/>
              <w:jc w:val="center"/>
              <w:rPr>
                <w:b/>
                <w:sz w:val="20"/>
                <w:szCs w:val="20"/>
              </w:rPr>
            </w:pPr>
            <w:r>
              <w:rPr>
                <w:color w:val="000000"/>
                <w:sz w:val="20"/>
                <w:szCs w:val="20"/>
              </w:rPr>
              <w:t>0</w:t>
            </w:r>
          </w:p>
        </w:tc>
        <w:tc>
          <w:tcPr>
            <w:tcW w:w="998" w:type="dxa"/>
            <w:vAlign w:val="center"/>
          </w:tcPr>
          <w:p w14:paraId="51AAE2E8" w14:textId="77777777" w:rsidR="00CF3A0A" w:rsidRPr="00C92AFC" w:rsidRDefault="00CF3A0A" w:rsidP="00016204">
            <w:pPr>
              <w:pStyle w:val="ListParagraph"/>
              <w:ind w:left="0"/>
              <w:jc w:val="center"/>
              <w:rPr>
                <w:b/>
                <w:sz w:val="20"/>
                <w:szCs w:val="20"/>
              </w:rPr>
            </w:pPr>
            <w:r>
              <w:rPr>
                <w:color w:val="000000"/>
                <w:sz w:val="20"/>
                <w:szCs w:val="20"/>
              </w:rPr>
              <w:t>0</w:t>
            </w:r>
          </w:p>
        </w:tc>
        <w:tc>
          <w:tcPr>
            <w:tcW w:w="984" w:type="dxa"/>
            <w:vAlign w:val="center"/>
          </w:tcPr>
          <w:p w14:paraId="23CFBF9D" w14:textId="77777777" w:rsidR="00CF3A0A" w:rsidRPr="00C92AFC" w:rsidRDefault="00CF3A0A" w:rsidP="00016204">
            <w:pPr>
              <w:pStyle w:val="ListParagraph"/>
              <w:ind w:left="0"/>
              <w:jc w:val="center"/>
              <w:rPr>
                <w:b/>
                <w:sz w:val="20"/>
                <w:szCs w:val="20"/>
              </w:rPr>
            </w:pPr>
            <w:r>
              <w:rPr>
                <w:color w:val="000000"/>
                <w:sz w:val="20"/>
                <w:szCs w:val="20"/>
              </w:rPr>
              <w:t>0</w:t>
            </w:r>
          </w:p>
        </w:tc>
        <w:tc>
          <w:tcPr>
            <w:tcW w:w="1017" w:type="dxa"/>
            <w:vAlign w:val="center"/>
          </w:tcPr>
          <w:p w14:paraId="73F6C200" w14:textId="77777777" w:rsidR="00CF3A0A" w:rsidRPr="00C92AFC" w:rsidRDefault="00CF3A0A" w:rsidP="00016204">
            <w:pPr>
              <w:pStyle w:val="ListParagraph"/>
              <w:ind w:left="0"/>
              <w:jc w:val="center"/>
              <w:rPr>
                <w:b/>
                <w:sz w:val="20"/>
                <w:szCs w:val="20"/>
              </w:rPr>
            </w:pPr>
            <w:r>
              <w:rPr>
                <w:color w:val="000000"/>
                <w:sz w:val="20"/>
                <w:szCs w:val="20"/>
              </w:rPr>
              <w:t>87,979</w:t>
            </w:r>
          </w:p>
        </w:tc>
      </w:tr>
      <w:tr w:rsidR="00CF3A0A" w14:paraId="7D0B9A8B" w14:textId="77777777" w:rsidTr="00016204">
        <w:tc>
          <w:tcPr>
            <w:tcW w:w="1094" w:type="dxa"/>
            <w:vAlign w:val="center"/>
          </w:tcPr>
          <w:p w14:paraId="5070608E" w14:textId="77777777" w:rsidR="00CF3A0A" w:rsidRPr="00C92AFC" w:rsidRDefault="00CF3A0A" w:rsidP="00016204">
            <w:pPr>
              <w:pStyle w:val="ListParagraph"/>
              <w:ind w:left="0"/>
              <w:jc w:val="center"/>
              <w:rPr>
                <w:b/>
                <w:sz w:val="20"/>
                <w:szCs w:val="20"/>
              </w:rPr>
            </w:pPr>
            <w:r w:rsidRPr="00C92AFC">
              <w:rPr>
                <w:color w:val="000000"/>
                <w:sz w:val="20"/>
                <w:szCs w:val="20"/>
              </w:rPr>
              <w:t>2016</w:t>
            </w:r>
          </w:p>
        </w:tc>
        <w:tc>
          <w:tcPr>
            <w:tcW w:w="981" w:type="dxa"/>
            <w:vAlign w:val="center"/>
          </w:tcPr>
          <w:p w14:paraId="023519C8" w14:textId="77777777" w:rsidR="00CF3A0A" w:rsidRPr="00C92AFC" w:rsidRDefault="00CF3A0A" w:rsidP="00016204">
            <w:pPr>
              <w:pStyle w:val="ListParagraph"/>
              <w:ind w:left="0"/>
              <w:jc w:val="center"/>
              <w:rPr>
                <w:b/>
                <w:sz w:val="20"/>
                <w:szCs w:val="20"/>
              </w:rPr>
            </w:pPr>
            <w:r>
              <w:rPr>
                <w:color w:val="000000"/>
                <w:sz w:val="20"/>
                <w:szCs w:val="20"/>
              </w:rPr>
              <w:t>53,743</w:t>
            </w:r>
          </w:p>
        </w:tc>
        <w:tc>
          <w:tcPr>
            <w:tcW w:w="977" w:type="dxa"/>
            <w:vAlign w:val="center"/>
          </w:tcPr>
          <w:p w14:paraId="4A2ABA3D" w14:textId="77777777" w:rsidR="00CF3A0A" w:rsidRPr="00C92AFC" w:rsidRDefault="00CF3A0A" w:rsidP="00016204">
            <w:pPr>
              <w:pStyle w:val="ListParagraph"/>
              <w:ind w:left="0"/>
              <w:jc w:val="center"/>
              <w:rPr>
                <w:b/>
                <w:sz w:val="20"/>
                <w:szCs w:val="20"/>
              </w:rPr>
            </w:pPr>
            <w:r>
              <w:rPr>
                <w:color w:val="000000"/>
                <w:sz w:val="20"/>
                <w:szCs w:val="20"/>
              </w:rPr>
              <w:t>314</w:t>
            </w:r>
          </w:p>
        </w:tc>
        <w:tc>
          <w:tcPr>
            <w:tcW w:w="1139" w:type="dxa"/>
            <w:vAlign w:val="center"/>
          </w:tcPr>
          <w:p w14:paraId="643792EC" w14:textId="77777777" w:rsidR="00CF3A0A" w:rsidRPr="00C92AFC" w:rsidRDefault="00CF3A0A" w:rsidP="00016204">
            <w:pPr>
              <w:pStyle w:val="ListParagraph"/>
              <w:ind w:left="0"/>
              <w:jc w:val="center"/>
              <w:rPr>
                <w:b/>
                <w:sz w:val="20"/>
                <w:szCs w:val="20"/>
              </w:rPr>
            </w:pPr>
            <w:r>
              <w:rPr>
                <w:color w:val="000000"/>
                <w:sz w:val="20"/>
                <w:szCs w:val="20"/>
              </w:rPr>
              <w:t>28,160</w:t>
            </w:r>
          </w:p>
        </w:tc>
        <w:tc>
          <w:tcPr>
            <w:tcW w:w="1139" w:type="dxa"/>
            <w:vAlign w:val="center"/>
          </w:tcPr>
          <w:p w14:paraId="430C53A2" w14:textId="77777777" w:rsidR="00CF3A0A" w:rsidRPr="00C92AFC" w:rsidRDefault="00CF3A0A" w:rsidP="00016204">
            <w:pPr>
              <w:pStyle w:val="ListParagraph"/>
              <w:ind w:left="0"/>
              <w:jc w:val="center"/>
              <w:rPr>
                <w:b/>
                <w:sz w:val="20"/>
                <w:szCs w:val="20"/>
              </w:rPr>
            </w:pPr>
            <w:r>
              <w:rPr>
                <w:color w:val="000000"/>
                <w:sz w:val="20"/>
                <w:szCs w:val="20"/>
              </w:rPr>
              <w:t>4,129</w:t>
            </w:r>
          </w:p>
        </w:tc>
        <w:tc>
          <w:tcPr>
            <w:tcW w:w="1021" w:type="dxa"/>
            <w:vAlign w:val="center"/>
          </w:tcPr>
          <w:p w14:paraId="4AF136E8" w14:textId="77777777" w:rsidR="00CF3A0A" w:rsidRPr="00C92AFC" w:rsidRDefault="00CF3A0A" w:rsidP="00016204">
            <w:pPr>
              <w:pStyle w:val="ListParagraph"/>
              <w:ind w:left="0"/>
              <w:jc w:val="center"/>
              <w:rPr>
                <w:b/>
                <w:sz w:val="20"/>
                <w:szCs w:val="20"/>
              </w:rPr>
            </w:pPr>
            <w:r>
              <w:rPr>
                <w:color w:val="000000"/>
                <w:sz w:val="20"/>
                <w:szCs w:val="20"/>
              </w:rPr>
              <w:t>778</w:t>
            </w:r>
          </w:p>
        </w:tc>
        <w:tc>
          <w:tcPr>
            <w:tcW w:w="998" w:type="dxa"/>
            <w:vAlign w:val="center"/>
          </w:tcPr>
          <w:p w14:paraId="22D43FF2" w14:textId="77777777" w:rsidR="00CF3A0A" w:rsidRPr="00C92AFC" w:rsidRDefault="00CF3A0A" w:rsidP="00016204">
            <w:pPr>
              <w:pStyle w:val="ListParagraph"/>
              <w:ind w:left="0"/>
              <w:jc w:val="center"/>
              <w:rPr>
                <w:b/>
                <w:sz w:val="20"/>
                <w:szCs w:val="20"/>
              </w:rPr>
            </w:pPr>
            <w:r>
              <w:rPr>
                <w:color w:val="000000"/>
                <w:sz w:val="20"/>
                <w:szCs w:val="20"/>
              </w:rPr>
              <w:t>0</w:t>
            </w:r>
          </w:p>
        </w:tc>
        <w:tc>
          <w:tcPr>
            <w:tcW w:w="984" w:type="dxa"/>
            <w:vAlign w:val="center"/>
          </w:tcPr>
          <w:p w14:paraId="43A5DC57" w14:textId="77777777" w:rsidR="00CF3A0A" w:rsidRPr="00C92AFC" w:rsidRDefault="00CF3A0A" w:rsidP="00016204">
            <w:pPr>
              <w:pStyle w:val="ListParagraph"/>
              <w:ind w:left="0"/>
              <w:jc w:val="center"/>
              <w:rPr>
                <w:b/>
                <w:sz w:val="20"/>
                <w:szCs w:val="20"/>
              </w:rPr>
            </w:pPr>
            <w:r>
              <w:rPr>
                <w:color w:val="000000"/>
                <w:sz w:val="20"/>
                <w:szCs w:val="20"/>
              </w:rPr>
              <w:t>0</w:t>
            </w:r>
          </w:p>
        </w:tc>
        <w:tc>
          <w:tcPr>
            <w:tcW w:w="1017" w:type="dxa"/>
            <w:vAlign w:val="center"/>
          </w:tcPr>
          <w:p w14:paraId="4D02BCA3" w14:textId="77777777" w:rsidR="00CF3A0A" w:rsidRPr="00C92AFC" w:rsidRDefault="00CF3A0A" w:rsidP="00016204">
            <w:pPr>
              <w:pStyle w:val="ListParagraph"/>
              <w:ind w:left="0"/>
              <w:jc w:val="center"/>
              <w:rPr>
                <w:b/>
                <w:sz w:val="20"/>
                <w:szCs w:val="20"/>
              </w:rPr>
            </w:pPr>
            <w:r>
              <w:rPr>
                <w:color w:val="000000"/>
                <w:sz w:val="20"/>
                <w:szCs w:val="20"/>
              </w:rPr>
              <w:t>87,124</w:t>
            </w:r>
          </w:p>
        </w:tc>
      </w:tr>
      <w:tr w:rsidR="00CF3A0A" w14:paraId="2CBE2296" w14:textId="77777777" w:rsidTr="00016204">
        <w:tc>
          <w:tcPr>
            <w:tcW w:w="1094" w:type="dxa"/>
            <w:vAlign w:val="center"/>
          </w:tcPr>
          <w:p w14:paraId="4134C4D3" w14:textId="77777777" w:rsidR="00CF3A0A" w:rsidRPr="00C92AFC" w:rsidRDefault="00CF3A0A" w:rsidP="00016204">
            <w:pPr>
              <w:pStyle w:val="ListParagraph"/>
              <w:ind w:left="0"/>
              <w:jc w:val="center"/>
              <w:rPr>
                <w:b/>
                <w:sz w:val="20"/>
                <w:szCs w:val="20"/>
              </w:rPr>
            </w:pPr>
            <w:r w:rsidRPr="00C92AFC">
              <w:rPr>
                <w:color w:val="000000"/>
                <w:sz w:val="20"/>
                <w:szCs w:val="20"/>
              </w:rPr>
              <w:t>2017</w:t>
            </w:r>
          </w:p>
        </w:tc>
        <w:tc>
          <w:tcPr>
            <w:tcW w:w="981" w:type="dxa"/>
            <w:vAlign w:val="center"/>
          </w:tcPr>
          <w:p w14:paraId="206FB616" w14:textId="77777777" w:rsidR="00CF3A0A" w:rsidRPr="00C92AFC" w:rsidRDefault="00CF3A0A" w:rsidP="00016204">
            <w:pPr>
              <w:pStyle w:val="ListParagraph"/>
              <w:ind w:left="0"/>
              <w:jc w:val="center"/>
              <w:rPr>
                <w:b/>
                <w:sz w:val="20"/>
                <w:szCs w:val="20"/>
              </w:rPr>
            </w:pPr>
            <w:r>
              <w:rPr>
                <w:color w:val="000000"/>
                <w:sz w:val="20"/>
                <w:szCs w:val="20"/>
              </w:rPr>
              <w:t>57,055</w:t>
            </w:r>
          </w:p>
        </w:tc>
        <w:tc>
          <w:tcPr>
            <w:tcW w:w="977" w:type="dxa"/>
            <w:vAlign w:val="center"/>
          </w:tcPr>
          <w:p w14:paraId="78A91EE3" w14:textId="77777777" w:rsidR="00CF3A0A" w:rsidRPr="00C92AFC" w:rsidRDefault="00CF3A0A" w:rsidP="00016204">
            <w:pPr>
              <w:pStyle w:val="ListParagraph"/>
              <w:ind w:left="0"/>
              <w:jc w:val="center"/>
              <w:rPr>
                <w:b/>
                <w:sz w:val="20"/>
                <w:szCs w:val="20"/>
              </w:rPr>
            </w:pPr>
            <w:r>
              <w:rPr>
                <w:color w:val="000000"/>
                <w:sz w:val="20"/>
                <w:szCs w:val="20"/>
              </w:rPr>
              <w:t>314</w:t>
            </w:r>
          </w:p>
        </w:tc>
        <w:tc>
          <w:tcPr>
            <w:tcW w:w="1139" w:type="dxa"/>
            <w:vAlign w:val="center"/>
          </w:tcPr>
          <w:p w14:paraId="0B12F3D0" w14:textId="77777777" w:rsidR="00CF3A0A" w:rsidRPr="00C92AFC" w:rsidRDefault="00CF3A0A" w:rsidP="00016204">
            <w:pPr>
              <w:pStyle w:val="ListParagraph"/>
              <w:ind w:left="0"/>
              <w:jc w:val="center"/>
              <w:rPr>
                <w:b/>
                <w:sz w:val="20"/>
                <w:szCs w:val="20"/>
              </w:rPr>
            </w:pPr>
            <w:r>
              <w:rPr>
                <w:color w:val="000000"/>
                <w:sz w:val="20"/>
                <w:szCs w:val="20"/>
              </w:rPr>
              <w:t>28,505</w:t>
            </w:r>
          </w:p>
        </w:tc>
        <w:tc>
          <w:tcPr>
            <w:tcW w:w="1139" w:type="dxa"/>
            <w:vAlign w:val="center"/>
          </w:tcPr>
          <w:p w14:paraId="71202416" w14:textId="77777777" w:rsidR="00CF3A0A" w:rsidRPr="00C92AFC" w:rsidRDefault="00CF3A0A" w:rsidP="00016204">
            <w:pPr>
              <w:pStyle w:val="ListParagraph"/>
              <w:ind w:left="0"/>
              <w:jc w:val="center"/>
              <w:rPr>
                <w:b/>
                <w:sz w:val="20"/>
                <w:szCs w:val="20"/>
              </w:rPr>
            </w:pPr>
            <w:r>
              <w:rPr>
                <w:color w:val="000000"/>
                <w:sz w:val="20"/>
                <w:szCs w:val="20"/>
              </w:rPr>
              <w:t>8,356</w:t>
            </w:r>
          </w:p>
        </w:tc>
        <w:tc>
          <w:tcPr>
            <w:tcW w:w="1021" w:type="dxa"/>
            <w:vAlign w:val="center"/>
          </w:tcPr>
          <w:p w14:paraId="791562AA" w14:textId="77777777" w:rsidR="00CF3A0A" w:rsidRPr="00C92AFC" w:rsidRDefault="00CF3A0A" w:rsidP="00016204">
            <w:pPr>
              <w:pStyle w:val="ListParagraph"/>
              <w:ind w:left="0"/>
              <w:jc w:val="center"/>
              <w:rPr>
                <w:b/>
                <w:sz w:val="20"/>
                <w:szCs w:val="20"/>
              </w:rPr>
            </w:pPr>
            <w:r>
              <w:rPr>
                <w:color w:val="000000"/>
                <w:sz w:val="20"/>
                <w:szCs w:val="20"/>
              </w:rPr>
              <w:t>956</w:t>
            </w:r>
          </w:p>
        </w:tc>
        <w:tc>
          <w:tcPr>
            <w:tcW w:w="998" w:type="dxa"/>
            <w:vAlign w:val="center"/>
          </w:tcPr>
          <w:p w14:paraId="44770B91" w14:textId="77777777" w:rsidR="00CF3A0A" w:rsidRPr="00C92AFC" w:rsidRDefault="00CF3A0A" w:rsidP="00016204">
            <w:pPr>
              <w:pStyle w:val="ListParagraph"/>
              <w:ind w:left="0"/>
              <w:jc w:val="center"/>
              <w:rPr>
                <w:b/>
                <w:sz w:val="20"/>
                <w:szCs w:val="20"/>
              </w:rPr>
            </w:pPr>
            <w:r>
              <w:rPr>
                <w:color w:val="000000"/>
                <w:sz w:val="20"/>
                <w:szCs w:val="20"/>
              </w:rPr>
              <w:t>0</w:t>
            </w:r>
          </w:p>
        </w:tc>
        <w:tc>
          <w:tcPr>
            <w:tcW w:w="984" w:type="dxa"/>
            <w:vAlign w:val="center"/>
          </w:tcPr>
          <w:p w14:paraId="2603A49A" w14:textId="77777777" w:rsidR="00CF3A0A" w:rsidRPr="00C92AFC" w:rsidRDefault="00CF3A0A" w:rsidP="00016204">
            <w:pPr>
              <w:pStyle w:val="ListParagraph"/>
              <w:ind w:left="0"/>
              <w:jc w:val="center"/>
              <w:rPr>
                <w:b/>
                <w:sz w:val="20"/>
                <w:szCs w:val="20"/>
              </w:rPr>
            </w:pPr>
            <w:r>
              <w:rPr>
                <w:color w:val="000000"/>
                <w:sz w:val="20"/>
                <w:szCs w:val="20"/>
              </w:rPr>
              <w:t>0</w:t>
            </w:r>
          </w:p>
        </w:tc>
        <w:tc>
          <w:tcPr>
            <w:tcW w:w="1017" w:type="dxa"/>
            <w:vAlign w:val="center"/>
          </w:tcPr>
          <w:p w14:paraId="74CE6323" w14:textId="77777777" w:rsidR="00CF3A0A" w:rsidRPr="00C92AFC" w:rsidRDefault="00CF3A0A" w:rsidP="00016204">
            <w:pPr>
              <w:pStyle w:val="ListParagraph"/>
              <w:ind w:left="0"/>
              <w:jc w:val="center"/>
              <w:rPr>
                <w:b/>
                <w:sz w:val="20"/>
                <w:szCs w:val="20"/>
              </w:rPr>
            </w:pPr>
            <w:r>
              <w:rPr>
                <w:color w:val="000000"/>
                <w:sz w:val="20"/>
                <w:szCs w:val="20"/>
              </w:rPr>
              <w:t>95,186</w:t>
            </w:r>
          </w:p>
        </w:tc>
      </w:tr>
      <w:tr w:rsidR="00CF3A0A" w14:paraId="6679921D" w14:textId="77777777" w:rsidTr="00016204">
        <w:tc>
          <w:tcPr>
            <w:tcW w:w="1094" w:type="dxa"/>
            <w:vAlign w:val="center"/>
          </w:tcPr>
          <w:p w14:paraId="1541AB7D" w14:textId="77777777" w:rsidR="00CF3A0A" w:rsidRPr="00C92AFC" w:rsidRDefault="00CF3A0A" w:rsidP="00016204">
            <w:pPr>
              <w:pStyle w:val="ListParagraph"/>
              <w:ind w:left="0"/>
              <w:jc w:val="center"/>
              <w:rPr>
                <w:b/>
                <w:sz w:val="20"/>
                <w:szCs w:val="20"/>
              </w:rPr>
            </w:pPr>
            <w:r w:rsidRPr="00C92AFC">
              <w:rPr>
                <w:color w:val="000000"/>
                <w:sz w:val="20"/>
                <w:szCs w:val="20"/>
              </w:rPr>
              <w:t>2018</w:t>
            </w:r>
          </w:p>
        </w:tc>
        <w:tc>
          <w:tcPr>
            <w:tcW w:w="981" w:type="dxa"/>
            <w:vAlign w:val="center"/>
          </w:tcPr>
          <w:p w14:paraId="135C8978" w14:textId="77777777" w:rsidR="00CF3A0A" w:rsidRPr="00C92AFC" w:rsidRDefault="00CF3A0A" w:rsidP="00016204">
            <w:pPr>
              <w:pStyle w:val="ListParagraph"/>
              <w:ind w:left="0"/>
              <w:jc w:val="center"/>
              <w:rPr>
                <w:b/>
                <w:sz w:val="20"/>
                <w:szCs w:val="20"/>
              </w:rPr>
            </w:pPr>
            <w:r>
              <w:rPr>
                <w:color w:val="000000"/>
                <w:sz w:val="20"/>
                <w:szCs w:val="20"/>
              </w:rPr>
              <w:t>47,198</w:t>
            </w:r>
          </w:p>
        </w:tc>
        <w:tc>
          <w:tcPr>
            <w:tcW w:w="977" w:type="dxa"/>
            <w:vAlign w:val="center"/>
          </w:tcPr>
          <w:p w14:paraId="601276C4" w14:textId="77777777" w:rsidR="00CF3A0A" w:rsidRPr="00C92AFC" w:rsidRDefault="00CF3A0A" w:rsidP="00016204">
            <w:pPr>
              <w:pStyle w:val="ListParagraph"/>
              <w:ind w:left="0"/>
              <w:jc w:val="center"/>
              <w:rPr>
                <w:b/>
                <w:sz w:val="20"/>
                <w:szCs w:val="20"/>
              </w:rPr>
            </w:pPr>
            <w:r>
              <w:rPr>
                <w:color w:val="000000"/>
                <w:sz w:val="20"/>
                <w:szCs w:val="20"/>
              </w:rPr>
              <w:t>314</w:t>
            </w:r>
          </w:p>
        </w:tc>
        <w:tc>
          <w:tcPr>
            <w:tcW w:w="1139" w:type="dxa"/>
            <w:vAlign w:val="center"/>
          </w:tcPr>
          <w:p w14:paraId="3F63238E" w14:textId="77777777" w:rsidR="00CF3A0A" w:rsidRPr="00C92AFC" w:rsidRDefault="00CF3A0A" w:rsidP="00016204">
            <w:pPr>
              <w:pStyle w:val="ListParagraph"/>
              <w:ind w:left="0"/>
              <w:jc w:val="center"/>
              <w:rPr>
                <w:b/>
                <w:sz w:val="20"/>
                <w:szCs w:val="20"/>
              </w:rPr>
            </w:pPr>
            <w:r>
              <w:rPr>
                <w:color w:val="000000"/>
                <w:sz w:val="20"/>
                <w:szCs w:val="20"/>
              </w:rPr>
              <w:t>15,537</w:t>
            </w:r>
          </w:p>
        </w:tc>
        <w:tc>
          <w:tcPr>
            <w:tcW w:w="1139" w:type="dxa"/>
            <w:vAlign w:val="center"/>
          </w:tcPr>
          <w:p w14:paraId="5957DD12" w14:textId="77777777" w:rsidR="00CF3A0A" w:rsidRPr="00C92AFC" w:rsidRDefault="00CF3A0A" w:rsidP="00016204">
            <w:pPr>
              <w:pStyle w:val="ListParagraph"/>
              <w:ind w:left="0"/>
              <w:jc w:val="center"/>
              <w:rPr>
                <w:b/>
                <w:sz w:val="20"/>
                <w:szCs w:val="20"/>
              </w:rPr>
            </w:pPr>
            <w:r>
              <w:rPr>
                <w:color w:val="000000"/>
                <w:sz w:val="20"/>
                <w:szCs w:val="20"/>
              </w:rPr>
              <w:t>6,148</w:t>
            </w:r>
          </w:p>
        </w:tc>
        <w:tc>
          <w:tcPr>
            <w:tcW w:w="1021" w:type="dxa"/>
            <w:vAlign w:val="center"/>
          </w:tcPr>
          <w:p w14:paraId="1AC8D741" w14:textId="77777777" w:rsidR="00CF3A0A" w:rsidRPr="00C92AFC" w:rsidRDefault="00CF3A0A" w:rsidP="00016204">
            <w:pPr>
              <w:pStyle w:val="ListParagraph"/>
              <w:ind w:left="0"/>
              <w:jc w:val="center"/>
              <w:rPr>
                <w:b/>
                <w:sz w:val="20"/>
                <w:szCs w:val="20"/>
              </w:rPr>
            </w:pPr>
            <w:r>
              <w:rPr>
                <w:color w:val="000000"/>
                <w:sz w:val="20"/>
                <w:szCs w:val="20"/>
              </w:rPr>
              <w:t>1,541</w:t>
            </w:r>
          </w:p>
        </w:tc>
        <w:tc>
          <w:tcPr>
            <w:tcW w:w="998" w:type="dxa"/>
            <w:vAlign w:val="center"/>
          </w:tcPr>
          <w:p w14:paraId="25F698AE" w14:textId="77777777" w:rsidR="00CF3A0A" w:rsidRPr="00C92AFC" w:rsidRDefault="00CF3A0A" w:rsidP="00016204">
            <w:pPr>
              <w:pStyle w:val="ListParagraph"/>
              <w:ind w:left="0"/>
              <w:jc w:val="center"/>
              <w:rPr>
                <w:b/>
                <w:sz w:val="20"/>
                <w:szCs w:val="20"/>
              </w:rPr>
            </w:pPr>
            <w:r>
              <w:rPr>
                <w:color w:val="000000"/>
                <w:sz w:val="20"/>
                <w:szCs w:val="20"/>
              </w:rPr>
              <w:t>14,251</w:t>
            </w:r>
          </w:p>
        </w:tc>
        <w:tc>
          <w:tcPr>
            <w:tcW w:w="984" w:type="dxa"/>
            <w:vAlign w:val="center"/>
          </w:tcPr>
          <w:p w14:paraId="004C0A4E" w14:textId="77777777" w:rsidR="00CF3A0A" w:rsidRPr="00C92AFC" w:rsidRDefault="00CF3A0A" w:rsidP="00016204">
            <w:pPr>
              <w:pStyle w:val="ListParagraph"/>
              <w:ind w:left="0"/>
              <w:jc w:val="center"/>
              <w:rPr>
                <w:b/>
                <w:sz w:val="20"/>
                <w:szCs w:val="20"/>
              </w:rPr>
            </w:pPr>
            <w:r>
              <w:rPr>
                <w:color w:val="000000"/>
                <w:sz w:val="20"/>
                <w:szCs w:val="20"/>
              </w:rPr>
              <w:t>0</w:t>
            </w:r>
          </w:p>
        </w:tc>
        <w:tc>
          <w:tcPr>
            <w:tcW w:w="1017" w:type="dxa"/>
            <w:vAlign w:val="center"/>
          </w:tcPr>
          <w:p w14:paraId="00340391" w14:textId="77777777" w:rsidR="00CF3A0A" w:rsidRPr="00C92AFC" w:rsidRDefault="00CF3A0A" w:rsidP="00016204">
            <w:pPr>
              <w:pStyle w:val="ListParagraph"/>
              <w:ind w:left="0"/>
              <w:jc w:val="center"/>
              <w:rPr>
                <w:b/>
                <w:sz w:val="20"/>
                <w:szCs w:val="20"/>
              </w:rPr>
            </w:pPr>
            <w:r>
              <w:rPr>
                <w:color w:val="000000"/>
                <w:sz w:val="20"/>
                <w:szCs w:val="20"/>
              </w:rPr>
              <w:t>84,989</w:t>
            </w:r>
          </w:p>
        </w:tc>
      </w:tr>
      <w:tr w:rsidR="00CF3A0A" w14:paraId="1C863CA9" w14:textId="77777777" w:rsidTr="00016204">
        <w:tc>
          <w:tcPr>
            <w:tcW w:w="1094" w:type="dxa"/>
            <w:vAlign w:val="center"/>
          </w:tcPr>
          <w:p w14:paraId="60E752D7" w14:textId="77777777" w:rsidR="00CF3A0A" w:rsidRPr="00C92AFC" w:rsidRDefault="00CF3A0A" w:rsidP="00016204">
            <w:pPr>
              <w:pStyle w:val="ListParagraph"/>
              <w:ind w:left="0"/>
              <w:jc w:val="center"/>
              <w:rPr>
                <w:b/>
                <w:sz w:val="20"/>
                <w:szCs w:val="20"/>
              </w:rPr>
            </w:pPr>
            <w:r w:rsidRPr="00C92AFC">
              <w:rPr>
                <w:color w:val="000000"/>
                <w:sz w:val="20"/>
                <w:szCs w:val="20"/>
              </w:rPr>
              <w:t>2019</w:t>
            </w:r>
          </w:p>
        </w:tc>
        <w:tc>
          <w:tcPr>
            <w:tcW w:w="981" w:type="dxa"/>
            <w:vAlign w:val="center"/>
          </w:tcPr>
          <w:p w14:paraId="2561E10B" w14:textId="77777777" w:rsidR="00CF3A0A" w:rsidRPr="00C92AFC" w:rsidRDefault="00CF3A0A" w:rsidP="00016204">
            <w:pPr>
              <w:pStyle w:val="ListParagraph"/>
              <w:ind w:left="0"/>
              <w:jc w:val="center"/>
              <w:rPr>
                <w:b/>
                <w:sz w:val="20"/>
                <w:szCs w:val="20"/>
              </w:rPr>
            </w:pPr>
            <w:r>
              <w:rPr>
                <w:color w:val="000000"/>
                <w:sz w:val="20"/>
                <w:szCs w:val="20"/>
              </w:rPr>
              <w:t>45,456</w:t>
            </w:r>
          </w:p>
        </w:tc>
        <w:tc>
          <w:tcPr>
            <w:tcW w:w="977" w:type="dxa"/>
            <w:vAlign w:val="center"/>
          </w:tcPr>
          <w:p w14:paraId="37031BCB" w14:textId="77777777" w:rsidR="00CF3A0A" w:rsidRPr="00C92AFC" w:rsidRDefault="00CF3A0A" w:rsidP="00016204">
            <w:pPr>
              <w:pStyle w:val="ListParagraph"/>
              <w:ind w:left="0"/>
              <w:jc w:val="center"/>
              <w:rPr>
                <w:b/>
                <w:sz w:val="20"/>
                <w:szCs w:val="20"/>
              </w:rPr>
            </w:pPr>
            <w:r>
              <w:rPr>
                <w:color w:val="000000"/>
                <w:sz w:val="20"/>
                <w:szCs w:val="20"/>
              </w:rPr>
              <w:t>314</w:t>
            </w:r>
          </w:p>
        </w:tc>
        <w:tc>
          <w:tcPr>
            <w:tcW w:w="1139" w:type="dxa"/>
            <w:vAlign w:val="center"/>
          </w:tcPr>
          <w:p w14:paraId="0D4E0873" w14:textId="77777777" w:rsidR="00CF3A0A" w:rsidRPr="00C92AFC" w:rsidRDefault="00CF3A0A" w:rsidP="00016204">
            <w:pPr>
              <w:pStyle w:val="ListParagraph"/>
              <w:ind w:left="0"/>
              <w:jc w:val="center"/>
              <w:rPr>
                <w:b/>
                <w:sz w:val="20"/>
                <w:szCs w:val="20"/>
              </w:rPr>
            </w:pPr>
            <w:r>
              <w:rPr>
                <w:color w:val="000000"/>
                <w:sz w:val="20"/>
                <w:szCs w:val="20"/>
              </w:rPr>
              <w:t>30,270</w:t>
            </w:r>
          </w:p>
        </w:tc>
        <w:tc>
          <w:tcPr>
            <w:tcW w:w="1139" w:type="dxa"/>
            <w:vAlign w:val="center"/>
          </w:tcPr>
          <w:p w14:paraId="05A6E51E" w14:textId="77777777" w:rsidR="00CF3A0A" w:rsidRPr="00C92AFC" w:rsidRDefault="00CF3A0A" w:rsidP="00016204">
            <w:pPr>
              <w:pStyle w:val="ListParagraph"/>
              <w:ind w:left="0"/>
              <w:jc w:val="center"/>
              <w:rPr>
                <w:b/>
                <w:sz w:val="20"/>
                <w:szCs w:val="20"/>
              </w:rPr>
            </w:pPr>
            <w:r>
              <w:rPr>
                <w:color w:val="000000"/>
                <w:sz w:val="20"/>
                <w:szCs w:val="20"/>
              </w:rPr>
              <w:t>4,373</w:t>
            </w:r>
          </w:p>
        </w:tc>
        <w:tc>
          <w:tcPr>
            <w:tcW w:w="1021" w:type="dxa"/>
            <w:vAlign w:val="center"/>
          </w:tcPr>
          <w:p w14:paraId="6EB0725B" w14:textId="77777777" w:rsidR="00CF3A0A" w:rsidRPr="00C92AFC" w:rsidRDefault="00CF3A0A" w:rsidP="00016204">
            <w:pPr>
              <w:pStyle w:val="ListParagraph"/>
              <w:ind w:left="0"/>
              <w:jc w:val="center"/>
              <w:rPr>
                <w:b/>
                <w:sz w:val="20"/>
                <w:szCs w:val="20"/>
              </w:rPr>
            </w:pPr>
            <w:r>
              <w:rPr>
                <w:color w:val="000000"/>
                <w:sz w:val="20"/>
                <w:szCs w:val="20"/>
              </w:rPr>
              <w:t>2,201</w:t>
            </w:r>
          </w:p>
        </w:tc>
        <w:tc>
          <w:tcPr>
            <w:tcW w:w="998" w:type="dxa"/>
            <w:vAlign w:val="center"/>
          </w:tcPr>
          <w:p w14:paraId="022011B0" w14:textId="77777777" w:rsidR="00CF3A0A" w:rsidRPr="00C92AFC" w:rsidRDefault="00CF3A0A" w:rsidP="00016204">
            <w:pPr>
              <w:pStyle w:val="ListParagraph"/>
              <w:ind w:left="0"/>
              <w:jc w:val="center"/>
              <w:rPr>
                <w:b/>
                <w:sz w:val="20"/>
                <w:szCs w:val="20"/>
              </w:rPr>
            </w:pPr>
            <w:r>
              <w:rPr>
                <w:color w:val="000000"/>
                <w:sz w:val="20"/>
                <w:szCs w:val="20"/>
              </w:rPr>
              <w:t>14,096</w:t>
            </w:r>
          </w:p>
        </w:tc>
        <w:tc>
          <w:tcPr>
            <w:tcW w:w="984" w:type="dxa"/>
            <w:vAlign w:val="center"/>
          </w:tcPr>
          <w:p w14:paraId="23532D89" w14:textId="77777777" w:rsidR="00CF3A0A" w:rsidRPr="00C92AFC" w:rsidRDefault="00CF3A0A" w:rsidP="00016204">
            <w:pPr>
              <w:pStyle w:val="ListParagraph"/>
              <w:ind w:left="0"/>
              <w:jc w:val="center"/>
              <w:rPr>
                <w:b/>
                <w:sz w:val="20"/>
                <w:szCs w:val="20"/>
              </w:rPr>
            </w:pPr>
            <w:r>
              <w:rPr>
                <w:color w:val="000000"/>
                <w:sz w:val="20"/>
                <w:szCs w:val="20"/>
              </w:rPr>
              <w:t>3,121</w:t>
            </w:r>
          </w:p>
        </w:tc>
        <w:tc>
          <w:tcPr>
            <w:tcW w:w="1017" w:type="dxa"/>
            <w:vAlign w:val="center"/>
          </w:tcPr>
          <w:p w14:paraId="490694C6" w14:textId="77777777" w:rsidR="00CF3A0A" w:rsidRPr="00C92AFC" w:rsidRDefault="00CF3A0A" w:rsidP="00016204">
            <w:pPr>
              <w:pStyle w:val="ListParagraph"/>
              <w:ind w:left="0"/>
              <w:jc w:val="center"/>
              <w:rPr>
                <w:b/>
                <w:sz w:val="20"/>
                <w:szCs w:val="20"/>
              </w:rPr>
            </w:pPr>
            <w:r>
              <w:rPr>
                <w:color w:val="000000"/>
                <w:sz w:val="20"/>
                <w:szCs w:val="20"/>
              </w:rPr>
              <w:t>99,831</w:t>
            </w:r>
          </w:p>
        </w:tc>
      </w:tr>
      <w:tr w:rsidR="00CF3A0A" w14:paraId="623C8AEE" w14:textId="77777777" w:rsidTr="00016204">
        <w:tc>
          <w:tcPr>
            <w:tcW w:w="1094" w:type="dxa"/>
            <w:vAlign w:val="center"/>
          </w:tcPr>
          <w:p w14:paraId="64D1D2DE" w14:textId="77777777" w:rsidR="00CF3A0A" w:rsidRPr="00C92AFC" w:rsidRDefault="00CF3A0A" w:rsidP="00016204">
            <w:pPr>
              <w:pStyle w:val="ListParagraph"/>
              <w:ind w:left="0"/>
              <w:jc w:val="center"/>
              <w:rPr>
                <w:b/>
                <w:sz w:val="20"/>
                <w:szCs w:val="20"/>
              </w:rPr>
            </w:pPr>
            <w:r w:rsidRPr="00C92AFC">
              <w:rPr>
                <w:color w:val="000000"/>
                <w:sz w:val="20"/>
                <w:szCs w:val="20"/>
              </w:rPr>
              <w:t>2020</w:t>
            </w:r>
          </w:p>
        </w:tc>
        <w:tc>
          <w:tcPr>
            <w:tcW w:w="981" w:type="dxa"/>
            <w:vAlign w:val="center"/>
          </w:tcPr>
          <w:p w14:paraId="609386AF" w14:textId="77777777" w:rsidR="00CF3A0A" w:rsidRPr="00C92AFC" w:rsidRDefault="00CF3A0A" w:rsidP="00016204">
            <w:pPr>
              <w:pStyle w:val="ListParagraph"/>
              <w:ind w:left="0"/>
              <w:jc w:val="center"/>
              <w:rPr>
                <w:b/>
                <w:sz w:val="20"/>
                <w:szCs w:val="20"/>
              </w:rPr>
            </w:pPr>
            <w:r>
              <w:rPr>
                <w:color w:val="000000"/>
                <w:sz w:val="20"/>
                <w:szCs w:val="20"/>
              </w:rPr>
              <w:t>54,915</w:t>
            </w:r>
          </w:p>
        </w:tc>
        <w:tc>
          <w:tcPr>
            <w:tcW w:w="977" w:type="dxa"/>
            <w:vAlign w:val="center"/>
          </w:tcPr>
          <w:p w14:paraId="16A2C0F7" w14:textId="77777777" w:rsidR="00CF3A0A" w:rsidRPr="00C92AFC" w:rsidRDefault="00CF3A0A" w:rsidP="00016204">
            <w:pPr>
              <w:pStyle w:val="ListParagraph"/>
              <w:ind w:left="0"/>
              <w:jc w:val="center"/>
              <w:rPr>
                <w:b/>
                <w:sz w:val="20"/>
                <w:szCs w:val="20"/>
              </w:rPr>
            </w:pPr>
            <w:r>
              <w:rPr>
                <w:color w:val="000000"/>
                <w:sz w:val="20"/>
                <w:szCs w:val="20"/>
              </w:rPr>
              <w:t>314</w:t>
            </w:r>
          </w:p>
        </w:tc>
        <w:tc>
          <w:tcPr>
            <w:tcW w:w="1139" w:type="dxa"/>
            <w:vAlign w:val="center"/>
          </w:tcPr>
          <w:p w14:paraId="7CD191F4" w14:textId="77777777" w:rsidR="00CF3A0A" w:rsidRPr="00C92AFC" w:rsidRDefault="00CF3A0A" w:rsidP="00016204">
            <w:pPr>
              <w:pStyle w:val="ListParagraph"/>
              <w:ind w:left="0"/>
              <w:jc w:val="center"/>
              <w:rPr>
                <w:b/>
                <w:sz w:val="20"/>
                <w:szCs w:val="20"/>
              </w:rPr>
            </w:pPr>
            <w:r>
              <w:rPr>
                <w:color w:val="000000"/>
                <w:sz w:val="20"/>
                <w:szCs w:val="20"/>
              </w:rPr>
              <w:t>27,168</w:t>
            </w:r>
          </w:p>
        </w:tc>
        <w:tc>
          <w:tcPr>
            <w:tcW w:w="1139" w:type="dxa"/>
            <w:vAlign w:val="center"/>
          </w:tcPr>
          <w:p w14:paraId="0ED92FC2" w14:textId="77777777" w:rsidR="00CF3A0A" w:rsidRPr="00C92AFC" w:rsidRDefault="00CF3A0A" w:rsidP="00016204">
            <w:pPr>
              <w:pStyle w:val="ListParagraph"/>
              <w:ind w:left="0"/>
              <w:jc w:val="center"/>
              <w:rPr>
                <w:b/>
                <w:sz w:val="20"/>
                <w:szCs w:val="20"/>
              </w:rPr>
            </w:pPr>
            <w:r>
              <w:rPr>
                <w:color w:val="000000"/>
                <w:sz w:val="20"/>
                <w:szCs w:val="20"/>
              </w:rPr>
              <w:t>8,154</w:t>
            </w:r>
          </w:p>
        </w:tc>
        <w:tc>
          <w:tcPr>
            <w:tcW w:w="1021" w:type="dxa"/>
            <w:vAlign w:val="center"/>
          </w:tcPr>
          <w:p w14:paraId="3D09F187" w14:textId="77777777" w:rsidR="00CF3A0A" w:rsidRPr="00C92AFC" w:rsidRDefault="00CF3A0A" w:rsidP="00016204">
            <w:pPr>
              <w:pStyle w:val="ListParagraph"/>
              <w:ind w:left="0"/>
              <w:jc w:val="center"/>
              <w:rPr>
                <w:b/>
                <w:sz w:val="20"/>
                <w:szCs w:val="20"/>
              </w:rPr>
            </w:pPr>
            <w:r>
              <w:rPr>
                <w:color w:val="000000"/>
                <w:sz w:val="20"/>
                <w:szCs w:val="20"/>
              </w:rPr>
              <w:t>2,242</w:t>
            </w:r>
          </w:p>
        </w:tc>
        <w:tc>
          <w:tcPr>
            <w:tcW w:w="998" w:type="dxa"/>
            <w:vAlign w:val="center"/>
          </w:tcPr>
          <w:p w14:paraId="4183AFE5" w14:textId="77777777" w:rsidR="00CF3A0A" w:rsidRPr="00C92AFC" w:rsidRDefault="00CF3A0A" w:rsidP="00016204">
            <w:pPr>
              <w:pStyle w:val="ListParagraph"/>
              <w:ind w:left="0"/>
              <w:jc w:val="center"/>
              <w:rPr>
                <w:b/>
                <w:sz w:val="20"/>
                <w:szCs w:val="20"/>
              </w:rPr>
            </w:pPr>
            <w:r>
              <w:rPr>
                <w:color w:val="000000"/>
                <w:sz w:val="20"/>
                <w:szCs w:val="20"/>
              </w:rPr>
              <w:t>14,073</w:t>
            </w:r>
          </w:p>
        </w:tc>
        <w:tc>
          <w:tcPr>
            <w:tcW w:w="984" w:type="dxa"/>
            <w:vAlign w:val="center"/>
          </w:tcPr>
          <w:p w14:paraId="73FFB496" w14:textId="77777777" w:rsidR="00CF3A0A" w:rsidRPr="00C92AFC" w:rsidRDefault="00CF3A0A" w:rsidP="00016204">
            <w:pPr>
              <w:pStyle w:val="ListParagraph"/>
              <w:ind w:left="0"/>
              <w:jc w:val="center"/>
              <w:rPr>
                <w:b/>
                <w:sz w:val="20"/>
                <w:szCs w:val="20"/>
              </w:rPr>
            </w:pPr>
            <w:r>
              <w:rPr>
                <w:color w:val="000000"/>
                <w:sz w:val="20"/>
                <w:szCs w:val="20"/>
              </w:rPr>
              <w:t>3,306</w:t>
            </w:r>
          </w:p>
        </w:tc>
        <w:tc>
          <w:tcPr>
            <w:tcW w:w="1017" w:type="dxa"/>
            <w:vAlign w:val="center"/>
          </w:tcPr>
          <w:p w14:paraId="33BFDAE0" w14:textId="77777777" w:rsidR="00CF3A0A" w:rsidRPr="00C92AFC" w:rsidRDefault="00CF3A0A" w:rsidP="00016204">
            <w:pPr>
              <w:pStyle w:val="ListParagraph"/>
              <w:ind w:left="0"/>
              <w:jc w:val="center"/>
              <w:rPr>
                <w:b/>
                <w:sz w:val="20"/>
                <w:szCs w:val="20"/>
              </w:rPr>
            </w:pPr>
            <w:r>
              <w:rPr>
                <w:color w:val="000000"/>
                <w:sz w:val="20"/>
                <w:szCs w:val="20"/>
              </w:rPr>
              <w:t>110,172</w:t>
            </w:r>
          </w:p>
        </w:tc>
      </w:tr>
      <w:tr w:rsidR="00CF3A0A" w14:paraId="7D7505D7" w14:textId="77777777" w:rsidTr="00016204">
        <w:tc>
          <w:tcPr>
            <w:tcW w:w="1094" w:type="dxa"/>
            <w:shd w:val="clear" w:color="auto" w:fill="BFBFBF" w:themeFill="background1" w:themeFillShade="BF"/>
            <w:vAlign w:val="center"/>
          </w:tcPr>
          <w:p w14:paraId="47AAB835" w14:textId="77777777" w:rsidR="00CF3A0A" w:rsidRPr="00C92AFC" w:rsidRDefault="00CF3A0A" w:rsidP="00016204">
            <w:pPr>
              <w:pStyle w:val="ListParagraph"/>
              <w:ind w:left="0"/>
              <w:jc w:val="center"/>
              <w:rPr>
                <w:b/>
                <w:sz w:val="20"/>
                <w:szCs w:val="20"/>
              </w:rPr>
            </w:pPr>
            <w:r w:rsidRPr="00C92AFC">
              <w:rPr>
                <w:b/>
                <w:bCs/>
                <w:color w:val="000000"/>
                <w:sz w:val="20"/>
                <w:szCs w:val="20"/>
              </w:rPr>
              <w:t>Total, 2007-2020</w:t>
            </w:r>
          </w:p>
        </w:tc>
        <w:tc>
          <w:tcPr>
            <w:tcW w:w="981" w:type="dxa"/>
            <w:shd w:val="clear" w:color="auto" w:fill="BFBFBF" w:themeFill="background1" w:themeFillShade="BF"/>
            <w:vAlign w:val="center"/>
          </w:tcPr>
          <w:p w14:paraId="7B69AABB" w14:textId="77777777" w:rsidR="00CF3A0A" w:rsidRPr="00C92AFC" w:rsidRDefault="00CF3A0A" w:rsidP="00016204">
            <w:pPr>
              <w:pStyle w:val="ListParagraph"/>
              <w:ind w:left="0"/>
              <w:jc w:val="center"/>
              <w:rPr>
                <w:b/>
                <w:sz w:val="20"/>
                <w:szCs w:val="20"/>
              </w:rPr>
            </w:pPr>
            <w:r>
              <w:rPr>
                <w:b/>
                <w:bCs/>
                <w:color w:val="000000"/>
                <w:sz w:val="20"/>
                <w:szCs w:val="20"/>
              </w:rPr>
              <w:t>612,422</w:t>
            </w:r>
          </w:p>
        </w:tc>
        <w:tc>
          <w:tcPr>
            <w:tcW w:w="977" w:type="dxa"/>
            <w:shd w:val="clear" w:color="auto" w:fill="BFBFBF" w:themeFill="background1" w:themeFillShade="BF"/>
            <w:vAlign w:val="center"/>
          </w:tcPr>
          <w:p w14:paraId="1FC7D434" w14:textId="77777777" w:rsidR="00CF3A0A" w:rsidRPr="00C92AFC" w:rsidRDefault="00CF3A0A" w:rsidP="00016204">
            <w:pPr>
              <w:pStyle w:val="ListParagraph"/>
              <w:ind w:left="0"/>
              <w:jc w:val="center"/>
              <w:rPr>
                <w:b/>
                <w:sz w:val="20"/>
                <w:szCs w:val="20"/>
              </w:rPr>
            </w:pPr>
            <w:r>
              <w:rPr>
                <w:b/>
                <w:bCs/>
                <w:color w:val="000000"/>
                <w:sz w:val="20"/>
                <w:szCs w:val="20"/>
              </w:rPr>
              <w:t>3,768</w:t>
            </w:r>
          </w:p>
        </w:tc>
        <w:tc>
          <w:tcPr>
            <w:tcW w:w="1139" w:type="dxa"/>
            <w:shd w:val="clear" w:color="auto" w:fill="BFBFBF" w:themeFill="background1" w:themeFillShade="BF"/>
            <w:vAlign w:val="center"/>
          </w:tcPr>
          <w:p w14:paraId="50248391" w14:textId="77777777" w:rsidR="00CF3A0A" w:rsidRPr="00C92AFC" w:rsidRDefault="00CF3A0A" w:rsidP="00016204">
            <w:pPr>
              <w:pStyle w:val="ListParagraph"/>
              <w:ind w:left="0"/>
              <w:jc w:val="center"/>
              <w:rPr>
                <w:b/>
                <w:sz w:val="20"/>
                <w:szCs w:val="20"/>
              </w:rPr>
            </w:pPr>
            <w:r>
              <w:rPr>
                <w:b/>
                <w:bCs/>
                <w:color w:val="000000"/>
                <w:sz w:val="20"/>
                <w:szCs w:val="20"/>
              </w:rPr>
              <w:t>220,779</w:t>
            </w:r>
          </w:p>
        </w:tc>
        <w:tc>
          <w:tcPr>
            <w:tcW w:w="1139" w:type="dxa"/>
            <w:shd w:val="clear" w:color="auto" w:fill="BFBFBF" w:themeFill="background1" w:themeFillShade="BF"/>
            <w:vAlign w:val="center"/>
          </w:tcPr>
          <w:p w14:paraId="23D81FC1" w14:textId="77777777" w:rsidR="00CF3A0A" w:rsidRPr="00C92AFC" w:rsidRDefault="00CF3A0A" w:rsidP="00016204">
            <w:pPr>
              <w:pStyle w:val="ListParagraph"/>
              <w:ind w:left="0"/>
              <w:jc w:val="center"/>
              <w:rPr>
                <w:b/>
                <w:sz w:val="20"/>
                <w:szCs w:val="20"/>
              </w:rPr>
            </w:pPr>
            <w:r>
              <w:rPr>
                <w:b/>
                <w:bCs/>
                <w:color w:val="000000"/>
                <w:sz w:val="20"/>
                <w:szCs w:val="20"/>
              </w:rPr>
              <w:t>57,228</w:t>
            </w:r>
          </w:p>
        </w:tc>
        <w:tc>
          <w:tcPr>
            <w:tcW w:w="1021" w:type="dxa"/>
            <w:shd w:val="clear" w:color="auto" w:fill="BFBFBF" w:themeFill="background1" w:themeFillShade="BF"/>
            <w:vAlign w:val="center"/>
          </w:tcPr>
          <w:p w14:paraId="3546ECEE" w14:textId="77777777" w:rsidR="00CF3A0A" w:rsidRPr="00C92AFC" w:rsidRDefault="00CF3A0A" w:rsidP="00016204">
            <w:pPr>
              <w:pStyle w:val="ListParagraph"/>
              <w:ind w:left="0"/>
              <w:jc w:val="center"/>
              <w:rPr>
                <w:b/>
                <w:sz w:val="20"/>
                <w:szCs w:val="20"/>
              </w:rPr>
            </w:pPr>
            <w:r>
              <w:rPr>
                <w:b/>
                <w:bCs/>
                <w:color w:val="000000"/>
                <w:sz w:val="20"/>
                <w:szCs w:val="20"/>
              </w:rPr>
              <w:t>7,718</w:t>
            </w:r>
          </w:p>
        </w:tc>
        <w:tc>
          <w:tcPr>
            <w:tcW w:w="998" w:type="dxa"/>
            <w:shd w:val="clear" w:color="auto" w:fill="BFBFBF" w:themeFill="background1" w:themeFillShade="BF"/>
            <w:vAlign w:val="center"/>
          </w:tcPr>
          <w:p w14:paraId="7CFC3AAD" w14:textId="77777777" w:rsidR="00CF3A0A" w:rsidRPr="00C92AFC" w:rsidRDefault="00CF3A0A" w:rsidP="00016204">
            <w:pPr>
              <w:pStyle w:val="ListParagraph"/>
              <w:ind w:left="0"/>
              <w:jc w:val="center"/>
              <w:rPr>
                <w:b/>
                <w:sz w:val="20"/>
                <w:szCs w:val="20"/>
              </w:rPr>
            </w:pPr>
            <w:r>
              <w:rPr>
                <w:b/>
                <w:bCs/>
                <w:color w:val="000000"/>
                <w:sz w:val="20"/>
                <w:szCs w:val="20"/>
              </w:rPr>
              <w:t>42,420</w:t>
            </w:r>
          </w:p>
        </w:tc>
        <w:tc>
          <w:tcPr>
            <w:tcW w:w="984" w:type="dxa"/>
            <w:shd w:val="clear" w:color="auto" w:fill="BFBFBF" w:themeFill="background1" w:themeFillShade="BF"/>
            <w:vAlign w:val="center"/>
          </w:tcPr>
          <w:p w14:paraId="73640557" w14:textId="77777777" w:rsidR="00CF3A0A" w:rsidRPr="00C92AFC" w:rsidRDefault="00CF3A0A" w:rsidP="00016204">
            <w:pPr>
              <w:pStyle w:val="ListParagraph"/>
              <w:ind w:left="0"/>
              <w:jc w:val="center"/>
              <w:rPr>
                <w:b/>
                <w:sz w:val="20"/>
                <w:szCs w:val="20"/>
              </w:rPr>
            </w:pPr>
            <w:r>
              <w:rPr>
                <w:b/>
                <w:bCs/>
                <w:color w:val="000000"/>
                <w:sz w:val="20"/>
                <w:szCs w:val="20"/>
              </w:rPr>
              <w:t>6,427</w:t>
            </w:r>
          </w:p>
        </w:tc>
        <w:tc>
          <w:tcPr>
            <w:tcW w:w="1017" w:type="dxa"/>
            <w:shd w:val="clear" w:color="auto" w:fill="BFBFBF" w:themeFill="background1" w:themeFillShade="BF"/>
            <w:vAlign w:val="center"/>
          </w:tcPr>
          <w:p w14:paraId="5F2DDC9B" w14:textId="77777777" w:rsidR="00CF3A0A" w:rsidRPr="00C92AFC" w:rsidRDefault="00CF3A0A" w:rsidP="00016204">
            <w:pPr>
              <w:pStyle w:val="ListParagraph"/>
              <w:ind w:left="0"/>
              <w:jc w:val="center"/>
              <w:rPr>
                <w:b/>
                <w:sz w:val="20"/>
                <w:szCs w:val="20"/>
              </w:rPr>
            </w:pPr>
            <w:r>
              <w:rPr>
                <w:b/>
                <w:bCs/>
                <w:color w:val="000000"/>
                <w:sz w:val="20"/>
                <w:szCs w:val="20"/>
              </w:rPr>
              <w:t>950,762</w:t>
            </w:r>
          </w:p>
        </w:tc>
      </w:tr>
      <w:tr w:rsidR="00CF3A0A" w14:paraId="51D97844" w14:textId="77777777" w:rsidTr="00016204">
        <w:tc>
          <w:tcPr>
            <w:tcW w:w="1094" w:type="dxa"/>
            <w:shd w:val="clear" w:color="auto" w:fill="BFBFBF" w:themeFill="background1" w:themeFillShade="BF"/>
            <w:vAlign w:val="center"/>
          </w:tcPr>
          <w:p w14:paraId="0D6DF9A7" w14:textId="77777777" w:rsidR="00CF3A0A" w:rsidRPr="00C92AFC" w:rsidRDefault="00CF3A0A" w:rsidP="00016204">
            <w:pPr>
              <w:pStyle w:val="ListParagraph"/>
              <w:ind w:left="0"/>
              <w:jc w:val="center"/>
              <w:rPr>
                <w:b/>
                <w:sz w:val="20"/>
                <w:szCs w:val="20"/>
              </w:rPr>
            </w:pPr>
            <w:r w:rsidRPr="00C92AFC">
              <w:rPr>
                <w:b/>
                <w:bCs/>
                <w:color w:val="000000"/>
                <w:sz w:val="20"/>
                <w:szCs w:val="20"/>
              </w:rPr>
              <w:t>Average, 2007-2020</w:t>
            </w:r>
          </w:p>
        </w:tc>
        <w:tc>
          <w:tcPr>
            <w:tcW w:w="981" w:type="dxa"/>
            <w:shd w:val="clear" w:color="auto" w:fill="BFBFBF" w:themeFill="background1" w:themeFillShade="BF"/>
            <w:vAlign w:val="center"/>
          </w:tcPr>
          <w:p w14:paraId="4F0F288D" w14:textId="77777777" w:rsidR="00CF3A0A" w:rsidRPr="00C92AFC" w:rsidRDefault="00CF3A0A" w:rsidP="00016204">
            <w:pPr>
              <w:pStyle w:val="ListParagraph"/>
              <w:ind w:left="0"/>
              <w:jc w:val="center"/>
              <w:rPr>
                <w:b/>
                <w:sz w:val="20"/>
                <w:szCs w:val="20"/>
              </w:rPr>
            </w:pPr>
            <w:r>
              <w:rPr>
                <w:b/>
                <w:bCs/>
                <w:color w:val="000000"/>
                <w:sz w:val="20"/>
                <w:szCs w:val="20"/>
              </w:rPr>
              <w:t>43,744</w:t>
            </w:r>
          </w:p>
        </w:tc>
        <w:tc>
          <w:tcPr>
            <w:tcW w:w="977" w:type="dxa"/>
            <w:shd w:val="clear" w:color="auto" w:fill="BFBFBF" w:themeFill="background1" w:themeFillShade="BF"/>
            <w:vAlign w:val="center"/>
          </w:tcPr>
          <w:p w14:paraId="13937B7F" w14:textId="77777777" w:rsidR="00CF3A0A" w:rsidRPr="00C92AFC" w:rsidRDefault="00CF3A0A" w:rsidP="00016204">
            <w:pPr>
              <w:pStyle w:val="ListParagraph"/>
              <w:ind w:left="0"/>
              <w:jc w:val="center"/>
              <w:rPr>
                <w:b/>
                <w:sz w:val="20"/>
                <w:szCs w:val="20"/>
              </w:rPr>
            </w:pPr>
            <w:r>
              <w:rPr>
                <w:b/>
                <w:bCs/>
                <w:color w:val="000000"/>
                <w:sz w:val="20"/>
                <w:szCs w:val="20"/>
              </w:rPr>
              <w:t>269</w:t>
            </w:r>
          </w:p>
        </w:tc>
        <w:tc>
          <w:tcPr>
            <w:tcW w:w="1139" w:type="dxa"/>
            <w:shd w:val="clear" w:color="auto" w:fill="BFBFBF" w:themeFill="background1" w:themeFillShade="BF"/>
            <w:vAlign w:val="center"/>
          </w:tcPr>
          <w:p w14:paraId="1BF57B8C" w14:textId="77777777" w:rsidR="00CF3A0A" w:rsidRPr="00C92AFC" w:rsidRDefault="00CF3A0A" w:rsidP="00016204">
            <w:pPr>
              <w:pStyle w:val="ListParagraph"/>
              <w:ind w:left="0"/>
              <w:jc w:val="center"/>
              <w:rPr>
                <w:b/>
                <w:sz w:val="20"/>
                <w:szCs w:val="20"/>
              </w:rPr>
            </w:pPr>
            <w:r>
              <w:rPr>
                <w:b/>
                <w:bCs/>
                <w:color w:val="000000"/>
                <w:sz w:val="20"/>
                <w:szCs w:val="20"/>
              </w:rPr>
              <w:t>15,770</w:t>
            </w:r>
          </w:p>
        </w:tc>
        <w:tc>
          <w:tcPr>
            <w:tcW w:w="1139" w:type="dxa"/>
            <w:shd w:val="clear" w:color="auto" w:fill="BFBFBF" w:themeFill="background1" w:themeFillShade="BF"/>
            <w:vAlign w:val="center"/>
          </w:tcPr>
          <w:p w14:paraId="33917D7B" w14:textId="77777777" w:rsidR="00CF3A0A" w:rsidRPr="00C92AFC" w:rsidRDefault="00CF3A0A" w:rsidP="00016204">
            <w:pPr>
              <w:pStyle w:val="ListParagraph"/>
              <w:ind w:left="0"/>
              <w:jc w:val="center"/>
              <w:rPr>
                <w:b/>
                <w:sz w:val="20"/>
                <w:szCs w:val="20"/>
              </w:rPr>
            </w:pPr>
            <w:r>
              <w:rPr>
                <w:b/>
                <w:bCs/>
                <w:color w:val="000000"/>
                <w:sz w:val="20"/>
                <w:szCs w:val="20"/>
              </w:rPr>
              <w:t>4,088</w:t>
            </w:r>
          </w:p>
        </w:tc>
        <w:tc>
          <w:tcPr>
            <w:tcW w:w="1021" w:type="dxa"/>
            <w:shd w:val="clear" w:color="auto" w:fill="BFBFBF" w:themeFill="background1" w:themeFillShade="BF"/>
            <w:vAlign w:val="center"/>
          </w:tcPr>
          <w:p w14:paraId="6F87A66E" w14:textId="77777777" w:rsidR="00CF3A0A" w:rsidRPr="00C92AFC" w:rsidRDefault="00CF3A0A" w:rsidP="00016204">
            <w:pPr>
              <w:pStyle w:val="ListParagraph"/>
              <w:ind w:left="0"/>
              <w:jc w:val="center"/>
              <w:rPr>
                <w:b/>
                <w:sz w:val="20"/>
                <w:szCs w:val="20"/>
              </w:rPr>
            </w:pPr>
            <w:r>
              <w:rPr>
                <w:b/>
                <w:bCs/>
                <w:color w:val="000000"/>
                <w:sz w:val="20"/>
                <w:szCs w:val="20"/>
              </w:rPr>
              <w:t>551</w:t>
            </w:r>
          </w:p>
        </w:tc>
        <w:tc>
          <w:tcPr>
            <w:tcW w:w="998" w:type="dxa"/>
            <w:shd w:val="clear" w:color="auto" w:fill="BFBFBF" w:themeFill="background1" w:themeFillShade="BF"/>
            <w:vAlign w:val="center"/>
          </w:tcPr>
          <w:p w14:paraId="4208C67E" w14:textId="77777777" w:rsidR="00CF3A0A" w:rsidRPr="00C92AFC" w:rsidRDefault="00CF3A0A" w:rsidP="00016204">
            <w:pPr>
              <w:pStyle w:val="ListParagraph"/>
              <w:ind w:left="0"/>
              <w:jc w:val="center"/>
              <w:rPr>
                <w:b/>
                <w:sz w:val="20"/>
                <w:szCs w:val="20"/>
              </w:rPr>
            </w:pPr>
            <w:r>
              <w:rPr>
                <w:b/>
                <w:bCs/>
                <w:color w:val="000000"/>
                <w:sz w:val="20"/>
                <w:szCs w:val="20"/>
              </w:rPr>
              <w:t>3,030</w:t>
            </w:r>
          </w:p>
        </w:tc>
        <w:tc>
          <w:tcPr>
            <w:tcW w:w="984" w:type="dxa"/>
            <w:shd w:val="clear" w:color="auto" w:fill="BFBFBF" w:themeFill="background1" w:themeFillShade="BF"/>
            <w:vAlign w:val="center"/>
          </w:tcPr>
          <w:p w14:paraId="65B3A56A" w14:textId="77777777" w:rsidR="00CF3A0A" w:rsidRPr="00C92AFC" w:rsidRDefault="00CF3A0A" w:rsidP="00016204">
            <w:pPr>
              <w:pStyle w:val="ListParagraph"/>
              <w:ind w:left="0"/>
              <w:jc w:val="center"/>
              <w:rPr>
                <w:b/>
                <w:sz w:val="20"/>
                <w:szCs w:val="20"/>
              </w:rPr>
            </w:pPr>
            <w:r>
              <w:rPr>
                <w:b/>
                <w:bCs/>
                <w:color w:val="000000"/>
                <w:sz w:val="20"/>
                <w:szCs w:val="20"/>
              </w:rPr>
              <w:t>459</w:t>
            </w:r>
          </w:p>
        </w:tc>
        <w:tc>
          <w:tcPr>
            <w:tcW w:w="1017" w:type="dxa"/>
            <w:shd w:val="clear" w:color="auto" w:fill="BFBFBF" w:themeFill="background1" w:themeFillShade="BF"/>
            <w:vAlign w:val="center"/>
          </w:tcPr>
          <w:p w14:paraId="37DDC4F3" w14:textId="77777777" w:rsidR="00CF3A0A" w:rsidRPr="00C92AFC" w:rsidRDefault="00CF3A0A" w:rsidP="00016204">
            <w:pPr>
              <w:pStyle w:val="ListParagraph"/>
              <w:ind w:left="0"/>
              <w:jc w:val="center"/>
              <w:rPr>
                <w:b/>
                <w:sz w:val="20"/>
                <w:szCs w:val="20"/>
              </w:rPr>
            </w:pPr>
            <w:r>
              <w:rPr>
                <w:b/>
                <w:bCs/>
                <w:color w:val="000000"/>
                <w:sz w:val="20"/>
                <w:szCs w:val="20"/>
              </w:rPr>
              <w:t>67,912</w:t>
            </w:r>
          </w:p>
        </w:tc>
      </w:tr>
      <w:tr w:rsidR="00CF3A0A" w14:paraId="6E10BB27" w14:textId="77777777" w:rsidTr="00016204">
        <w:tc>
          <w:tcPr>
            <w:tcW w:w="1094" w:type="dxa"/>
            <w:shd w:val="clear" w:color="auto" w:fill="BFBFBF" w:themeFill="background1" w:themeFillShade="BF"/>
            <w:vAlign w:val="center"/>
          </w:tcPr>
          <w:p w14:paraId="1EE7A850" w14:textId="77777777" w:rsidR="00CF3A0A" w:rsidRPr="00C92AFC" w:rsidRDefault="00CF3A0A" w:rsidP="00016204">
            <w:pPr>
              <w:pStyle w:val="ListParagraph"/>
              <w:ind w:left="0"/>
              <w:jc w:val="center"/>
              <w:rPr>
                <w:b/>
                <w:sz w:val="20"/>
                <w:szCs w:val="20"/>
              </w:rPr>
            </w:pPr>
            <w:r w:rsidRPr="00C92AFC">
              <w:rPr>
                <w:b/>
                <w:bCs/>
                <w:color w:val="000000"/>
                <w:sz w:val="20"/>
                <w:szCs w:val="20"/>
              </w:rPr>
              <w:t>Total, 2012-2020</w:t>
            </w:r>
          </w:p>
        </w:tc>
        <w:tc>
          <w:tcPr>
            <w:tcW w:w="981" w:type="dxa"/>
            <w:shd w:val="clear" w:color="auto" w:fill="BFBFBF" w:themeFill="background1" w:themeFillShade="BF"/>
            <w:vAlign w:val="center"/>
          </w:tcPr>
          <w:p w14:paraId="3830D636" w14:textId="77777777" w:rsidR="00CF3A0A" w:rsidRPr="00C92AFC" w:rsidRDefault="00CF3A0A" w:rsidP="00016204">
            <w:pPr>
              <w:pStyle w:val="ListParagraph"/>
              <w:ind w:left="0"/>
              <w:jc w:val="center"/>
              <w:rPr>
                <w:b/>
                <w:sz w:val="20"/>
                <w:szCs w:val="20"/>
              </w:rPr>
            </w:pPr>
            <w:r>
              <w:rPr>
                <w:b/>
                <w:bCs/>
                <w:color w:val="000000"/>
                <w:sz w:val="20"/>
                <w:szCs w:val="20"/>
              </w:rPr>
              <w:t>436,111</w:t>
            </w:r>
          </w:p>
        </w:tc>
        <w:tc>
          <w:tcPr>
            <w:tcW w:w="977" w:type="dxa"/>
            <w:shd w:val="clear" w:color="auto" w:fill="BFBFBF" w:themeFill="background1" w:themeFillShade="BF"/>
            <w:vAlign w:val="center"/>
          </w:tcPr>
          <w:p w14:paraId="4496A497" w14:textId="77777777" w:rsidR="00CF3A0A" w:rsidRPr="00C92AFC" w:rsidRDefault="00CF3A0A" w:rsidP="00016204">
            <w:pPr>
              <w:pStyle w:val="ListParagraph"/>
              <w:ind w:left="0"/>
              <w:jc w:val="center"/>
              <w:rPr>
                <w:b/>
                <w:sz w:val="20"/>
                <w:szCs w:val="20"/>
              </w:rPr>
            </w:pPr>
            <w:r>
              <w:rPr>
                <w:b/>
                <w:bCs/>
                <w:color w:val="000000"/>
                <w:sz w:val="20"/>
                <w:szCs w:val="20"/>
              </w:rPr>
              <w:t>2,826</w:t>
            </w:r>
          </w:p>
        </w:tc>
        <w:tc>
          <w:tcPr>
            <w:tcW w:w="1139" w:type="dxa"/>
            <w:shd w:val="clear" w:color="auto" w:fill="BFBFBF" w:themeFill="background1" w:themeFillShade="BF"/>
            <w:vAlign w:val="center"/>
          </w:tcPr>
          <w:p w14:paraId="62351FED" w14:textId="77777777" w:rsidR="00CF3A0A" w:rsidRPr="00C92AFC" w:rsidRDefault="00CF3A0A" w:rsidP="00016204">
            <w:pPr>
              <w:pStyle w:val="ListParagraph"/>
              <w:ind w:left="0"/>
              <w:jc w:val="center"/>
              <w:rPr>
                <w:b/>
                <w:sz w:val="20"/>
                <w:szCs w:val="20"/>
              </w:rPr>
            </w:pPr>
            <w:r>
              <w:rPr>
                <w:b/>
                <w:bCs/>
                <w:color w:val="000000"/>
                <w:sz w:val="20"/>
                <w:szCs w:val="20"/>
              </w:rPr>
              <w:t>220,779</w:t>
            </w:r>
          </w:p>
        </w:tc>
        <w:tc>
          <w:tcPr>
            <w:tcW w:w="1139" w:type="dxa"/>
            <w:shd w:val="clear" w:color="auto" w:fill="BFBFBF" w:themeFill="background1" w:themeFillShade="BF"/>
            <w:vAlign w:val="center"/>
          </w:tcPr>
          <w:p w14:paraId="2B16B698" w14:textId="77777777" w:rsidR="00CF3A0A" w:rsidRPr="00C92AFC" w:rsidRDefault="00CF3A0A" w:rsidP="00016204">
            <w:pPr>
              <w:pStyle w:val="ListParagraph"/>
              <w:ind w:left="0"/>
              <w:jc w:val="center"/>
              <w:rPr>
                <w:b/>
                <w:sz w:val="20"/>
                <w:szCs w:val="20"/>
              </w:rPr>
            </w:pPr>
            <w:r>
              <w:rPr>
                <w:b/>
                <w:bCs/>
                <w:color w:val="000000"/>
                <w:sz w:val="20"/>
                <w:szCs w:val="20"/>
              </w:rPr>
              <w:t>57,228</w:t>
            </w:r>
          </w:p>
        </w:tc>
        <w:tc>
          <w:tcPr>
            <w:tcW w:w="1021" w:type="dxa"/>
            <w:shd w:val="clear" w:color="auto" w:fill="BFBFBF" w:themeFill="background1" w:themeFillShade="BF"/>
            <w:vAlign w:val="center"/>
          </w:tcPr>
          <w:p w14:paraId="2167A37D" w14:textId="77777777" w:rsidR="00CF3A0A" w:rsidRPr="00C92AFC" w:rsidRDefault="00CF3A0A" w:rsidP="00016204">
            <w:pPr>
              <w:pStyle w:val="ListParagraph"/>
              <w:ind w:left="0"/>
              <w:jc w:val="center"/>
              <w:rPr>
                <w:b/>
                <w:sz w:val="20"/>
                <w:szCs w:val="20"/>
              </w:rPr>
            </w:pPr>
            <w:r>
              <w:rPr>
                <w:b/>
                <w:bCs/>
                <w:color w:val="000000"/>
                <w:sz w:val="20"/>
                <w:szCs w:val="20"/>
              </w:rPr>
              <w:t>7,718</w:t>
            </w:r>
          </w:p>
        </w:tc>
        <w:tc>
          <w:tcPr>
            <w:tcW w:w="998" w:type="dxa"/>
            <w:shd w:val="clear" w:color="auto" w:fill="BFBFBF" w:themeFill="background1" w:themeFillShade="BF"/>
            <w:vAlign w:val="center"/>
          </w:tcPr>
          <w:p w14:paraId="1FF7A3B7" w14:textId="77777777" w:rsidR="00CF3A0A" w:rsidRPr="00C92AFC" w:rsidRDefault="00CF3A0A" w:rsidP="00016204">
            <w:pPr>
              <w:pStyle w:val="ListParagraph"/>
              <w:ind w:left="0"/>
              <w:jc w:val="center"/>
              <w:rPr>
                <w:b/>
                <w:sz w:val="20"/>
                <w:szCs w:val="20"/>
              </w:rPr>
            </w:pPr>
            <w:r>
              <w:rPr>
                <w:b/>
                <w:bCs/>
                <w:color w:val="000000"/>
                <w:sz w:val="20"/>
                <w:szCs w:val="20"/>
              </w:rPr>
              <w:t>42,420</w:t>
            </w:r>
          </w:p>
        </w:tc>
        <w:tc>
          <w:tcPr>
            <w:tcW w:w="984" w:type="dxa"/>
            <w:shd w:val="clear" w:color="auto" w:fill="BFBFBF" w:themeFill="background1" w:themeFillShade="BF"/>
            <w:vAlign w:val="center"/>
          </w:tcPr>
          <w:p w14:paraId="7A506AE2" w14:textId="77777777" w:rsidR="00CF3A0A" w:rsidRPr="00C92AFC" w:rsidRDefault="00CF3A0A" w:rsidP="00016204">
            <w:pPr>
              <w:pStyle w:val="ListParagraph"/>
              <w:ind w:left="0"/>
              <w:jc w:val="center"/>
              <w:rPr>
                <w:b/>
                <w:sz w:val="20"/>
                <w:szCs w:val="20"/>
              </w:rPr>
            </w:pPr>
            <w:r>
              <w:rPr>
                <w:b/>
                <w:bCs/>
                <w:color w:val="000000"/>
                <w:sz w:val="20"/>
                <w:szCs w:val="20"/>
              </w:rPr>
              <w:t>6,427</w:t>
            </w:r>
          </w:p>
        </w:tc>
        <w:tc>
          <w:tcPr>
            <w:tcW w:w="1017" w:type="dxa"/>
            <w:shd w:val="clear" w:color="auto" w:fill="BFBFBF" w:themeFill="background1" w:themeFillShade="BF"/>
            <w:vAlign w:val="center"/>
          </w:tcPr>
          <w:p w14:paraId="7A216446" w14:textId="77777777" w:rsidR="00CF3A0A" w:rsidRPr="00C92AFC" w:rsidRDefault="00CF3A0A" w:rsidP="00016204">
            <w:pPr>
              <w:pStyle w:val="ListParagraph"/>
              <w:ind w:left="0"/>
              <w:jc w:val="center"/>
              <w:rPr>
                <w:b/>
                <w:sz w:val="20"/>
                <w:szCs w:val="20"/>
              </w:rPr>
            </w:pPr>
            <w:r>
              <w:rPr>
                <w:b/>
                <w:bCs/>
                <w:color w:val="000000"/>
                <w:sz w:val="20"/>
                <w:szCs w:val="20"/>
              </w:rPr>
              <w:t>773,509</w:t>
            </w:r>
          </w:p>
        </w:tc>
      </w:tr>
      <w:tr w:rsidR="00CF3A0A" w14:paraId="63FD4D65" w14:textId="77777777" w:rsidTr="00016204">
        <w:tc>
          <w:tcPr>
            <w:tcW w:w="1094" w:type="dxa"/>
            <w:shd w:val="clear" w:color="auto" w:fill="BFBFBF" w:themeFill="background1" w:themeFillShade="BF"/>
            <w:vAlign w:val="center"/>
          </w:tcPr>
          <w:p w14:paraId="12E8AC66" w14:textId="77777777" w:rsidR="00CF3A0A" w:rsidRPr="00C92AFC" w:rsidRDefault="00CF3A0A" w:rsidP="00016204">
            <w:pPr>
              <w:pStyle w:val="ListParagraph"/>
              <w:ind w:left="0"/>
              <w:jc w:val="center"/>
              <w:rPr>
                <w:b/>
                <w:sz w:val="20"/>
                <w:szCs w:val="20"/>
              </w:rPr>
            </w:pPr>
            <w:r w:rsidRPr="00C92AFC">
              <w:rPr>
                <w:b/>
                <w:bCs/>
                <w:color w:val="000000"/>
                <w:sz w:val="20"/>
                <w:szCs w:val="20"/>
              </w:rPr>
              <w:t>Average, 2012-2020</w:t>
            </w:r>
          </w:p>
        </w:tc>
        <w:tc>
          <w:tcPr>
            <w:tcW w:w="981" w:type="dxa"/>
            <w:shd w:val="clear" w:color="auto" w:fill="BFBFBF" w:themeFill="background1" w:themeFillShade="BF"/>
            <w:vAlign w:val="center"/>
          </w:tcPr>
          <w:p w14:paraId="032A87D2" w14:textId="77777777" w:rsidR="00CF3A0A" w:rsidRPr="00C92AFC" w:rsidRDefault="00CF3A0A" w:rsidP="00016204">
            <w:pPr>
              <w:pStyle w:val="ListParagraph"/>
              <w:ind w:left="0"/>
              <w:jc w:val="center"/>
              <w:rPr>
                <w:b/>
                <w:sz w:val="20"/>
                <w:szCs w:val="20"/>
              </w:rPr>
            </w:pPr>
            <w:r>
              <w:rPr>
                <w:b/>
                <w:bCs/>
                <w:color w:val="000000"/>
                <w:sz w:val="20"/>
                <w:szCs w:val="20"/>
              </w:rPr>
              <w:t>48,457</w:t>
            </w:r>
          </w:p>
        </w:tc>
        <w:tc>
          <w:tcPr>
            <w:tcW w:w="977" w:type="dxa"/>
            <w:shd w:val="clear" w:color="auto" w:fill="BFBFBF" w:themeFill="background1" w:themeFillShade="BF"/>
            <w:vAlign w:val="center"/>
          </w:tcPr>
          <w:p w14:paraId="11A930B3" w14:textId="77777777" w:rsidR="00CF3A0A" w:rsidRPr="00C92AFC" w:rsidRDefault="00CF3A0A" w:rsidP="00016204">
            <w:pPr>
              <w:pStyle w:val="ListParagraph"/>
              <w:ind w:left="0"/>
              <w:jc w:val="center"/>
              <w:rPr>
                <w:b/>
                <w:sz w:val="20"/>
                <w:szCs w:val="20"/>
              </w:rPr>
            </w:pPr>
            <w:r>
              <w:rPr>
                <w:b/>
                <w:bCs/>
                <w:color w:val="000000"/>
                <w:sz w:val="20"/>
                <w:szCs w:val="20"/>
              </w:rPr>
              <w:t>314</w:t>
            </w:r>
          </w:p>
        </w:tc>
        <w:tc>
          <w:tcPr>
            <w:tcW w:w="1139" w:type="dxa"/>
            <w:shd w:val="clear" w:color="auto" w:fill="BFBFBF" w:themeFill="background1" w:themeFillShade="BF"/>
            <w:vAlign w:val="center"/>
          </w:tcPr>
          <w:p w14:paraId="22BDF95B" w14:textId="77777777" w:rsidR="00CF3A0A" w:rsidRPr="00C92AFC" w:rsidRDefault="00CF3A0A" w:rsidP="00016204">
            <w:pPr>
              <w:pStyle w:val="ListParagraph"/>
              <w:ind w:left="0"/>
              <w:jc w:val="center"/>
              <w:rPr>
                <w:b/>
                <w:sz w:val="20"/>
                <w:szCs w:val="20"/>
              </w:rPr>
            </w:pPr>
            <w:r>
              <w:rPr>
                <w:b/>
                <w:bCs/>
                <w:color w:val="000000"/>
                <w:sz w:val="20"/>
                <w:szCs w:val="20"/>
              </w:rPr>
              <w:t>24,531</w:t>
            </w:r>
          </w:p>
        </w:tc>
        <w:tc>
          <w:tcPr>
            <w:tcW w:w="1139" w:type="dxa"/>
            <w:shd w:val="clear" w:color="auto" w:fill="BFBFBF" w:themeFill="background1" w:themeFillShade="BF"/>
            <w:vAlign w:val="center"/>
          </w:tcPr>
          <w:p w14:paraId="6D13D69F" w14:textId="77777777" w:rsidR="00CF3A0A" w:rsidRPr="00C92AFC" w:rsidRDefault="00CF3A0A" w:rsidP="00016204">
            <w:pPr>
              <w:pStyle w:val="ListParagraph"/>
              <w:ind w:left="0"/>
              <w:jc w:val="center"/>
              <w:rPr>
                <w:b/>
                <w:sz w:val="20"/>
                <w:szCs w:val="20"/>
              </w:rPr>
            </w:pPr>
            <w:r>
              <w:rPr>
                <w:b/>
                <w:bCs/>
                <w:color w:val="000000"/>
                <w:sz w:val="20"/>
                <w:szCs w:val="20"/>
              </w:rPr>
              <w:t>6,359</w:t>
            </w:r>
          </w:p>
        </w:tc>
        <w:tc>
          <w:tcPr>
            <w:tcW w:w="1021" w:type="dxa"/>
            <w:shd w:val="clear" w:color="auto" w:fill="BFBFBF" w:themeFill="background1" w:themeFillShade="BF"/>
            <w:vAlign w:val="center"/>
          </w:tcPr>
          <w:p w14:paraId="2D1D854D" w14:textId="77777777" w:rsidR="00CF3A0A" w:rsidRPr="00C92AFC" w:rsidRDefault="00CF3A0A" w:rsidP="00016204">
            <w:pPr>
              <w:pStyle w:val="ListParagraph"/>
              <w:ind w:left="0"/>
              <w:jc w:val="center"/>
              <w:rPr>
                <w:b/>
                <w:sz w:val="20"/>
                <w:szCs w:val="20"/>
              </w:rPr>
            </w:pPr>
            <w:r>
              <w:rPr>
                <w:b/>
                <w:bCs/>
                <w:color w:val="000000"/>
                <w:sz w:val="20"/>
                <w:szCs w:val="20"/>
              </w:rPr>
              <w:t>858</w:t>
            </w:r>
          </w:p>
        </w:tc>
        <w:tc>
          <w:tcPr>
            <w:tcW w:w="998" w:type="dxa"/>
            <w:shd w:val="clear" w:color="auto" w:fill="BFBFBF" w:themeFill="background1" w:themeFillShade="BF"/>
            <w:vAlign w:val="center"/>
          </w:tcPr>
          <w:p w14:paraId="608FB868" w14:textId="77777777" w:rsidR="00CF3A0A" w:rsidRPr="00C92AFC" w:rsidRDefault="00CF3A0A" w:rsidP="00016204">
            <w:pPr>
              <w:pStyle w:val="ListParagraph"/>
              <w:ind w:left="0"/>
              <w:jc w:val="center"/>
              <w:rPr>
                <w:b/>
                <w:sz w:val="20"/>
                <w:szCs w:val="20"/>
              </w:rPr>
            </w:pPr>
            <w:r>
              <w:rPr>
                <w:b/>
                <w:bCs/>
                <w:color w:val="000000"/>
                <w:sz w:val="20"/>
                <w:szCs w:val="20"/>
              </w:rPr>
              <w:t>4,713</w:t>
            </w:r>
          </w:p>
        </w:tc>
        <w:tc>
          <w:tcPr>
            <w:tcW w:w="984" w:type="dxa"/>
            <w:shd w:val="clear" w:color="auto" w:fill="BFBFBF" w:themeFill="background1" w:themeFillShade="BF"/>
            <w:vAlign w:val="center"/>
          </w:tcPr>
          <w:p w14:paraId="04A25B08" w14:textId="77777777" w:rsidR="00CF3A0A" w:rsidRPr="00C92AFC" w:rsidRDefault="00CF3A0A" w:rsidP="00016204">
            <w:pPr>
              <w:pStyle w:val="ListParagraph"/>
              <w:ind w:left="0"/>
              <w:jc w:val="center"/>
              <w:rPr>
                <w:b/>
                <w:sz w:val="20"/>
                <w:szCs w:val="20"/>
              </w:rPr>
            </w:pPr>
            <w:r>
              <w:rPr>
                <w:b/>
                <w:bCs/>
                <w:color w:val="000000"/>
                <w:sz w:val="20"/>
                <w:szCs w:val="20"/>
              </w:rPr>
              <w:t>714</w:t>
            </w:r>
          </w:p>
        </w:tc>
        <w:tc>
          <w:tcPr>
            <w:tcW w:w="1017" w:type="dxa"/>
            <w:shd w:val="clear" w:color="auto" w:fill="BFBFBF" w:themeFill="background1" w:themeFillShade="BF"/>
            <w:vAlign w:val="center"/>
          </w:tcPr>
          <w:p w14:paraId="638AEEF0" w14:textId="77777777" w:rsidR="00CF3A0A" w:rsidRPr="00C92AFC" w:rsidRDefault="00CF3A0A" w:rsidP="00016204">
            <w:pPr>
              <w:pStyle w:val="ListParagraph"/>
              <w:ind w:left="0"/>
              <w:jc w:val="center"/>
              <w:rPr>
                <w:b/>
                <w:sz w:val="20"/>
                <w:szCs w:val="20"/>
              </w:rPr>
            </w:pPr>
            <w:r>
              <w:rPr>
                <w:b/>
                <w:bCs/>
                <w:color w:val="000000"/>
                <w:sz w:val="20"/>
                <w:szCs w:val="20"/>
              </w:rPr>
              <w:t>85,945</w:t>
            </w:r>
          </w:p>
        </w:tc>
      </w:tr>
    </w:tbl>
    <w:p w14:paraId="71BA11EA" w14:textId="77777777" w:rsidR="00CF3A0A" w:rsidRDefault="00CF3A0A" w:rsidP="00E72742"/>
    <w:p w14:paraId="6542E2DD" w14:textId="7ADEB966" w:rsidR="007F499B" w:rsidRDefault="00CC32F5" w:rsidP="00E72742">
      <w:r>
        <w:t>Releases from the Lake McConaughy EA to benefit threatened and endangered species downstream are overseen by the USFWS in coordination with</w:t>
      </w:r>
      <w:r w:rsidR="00620EEA">
        <w:t xml:space="preserve"> </w:t>
      </w:r>
      <w:r>
        <w:t>CNPPID</w:t>
      </w:r>
      <w:r w:rsidR="00620EEA">
        <w:t xml:space="preserve"> and the EDO</w:t>
      </w:r>
      <w:r w:rsidR="000A4F75">
        <w:t>.  The USFWS EA Manager prepares</w:t>
      </w:r>
      <w:r>
        <w:t xml:space="preserve"> an Annual Operating Plan (AOP)</w:t>
      </w:r>
      <w:r w:rsidR="000A4F75">
        <w:t>, which outlines</w:t>
      </w:r>
      <w:r w:rsidR="00D3737A">
        <w:t xml:space="preserve"> priorities for</w:t>
      </w:r>
      <w:r w:rsidR="000A4F75">
        <w:t xml:space="preserve"> the timing, target flow rates, and purpose of planned releases from the Lake McConaughy EA</w:t>
      </w:r>
      <w:r w:rsidR="00D3737A">
        <w:t xml:space="preserve"> </w:t>
      </w:r>
      <w:r w:rsidR="00DA0C28">
        <w:t>during</w:t>
      </w:r>
      <w:r w:rsidR="00D3737A">
        <w:t xml:space="preserve"> the upcoming year</w:t>
      </w:r>
      <w:r>
        <w:t xml:space="preserve">.  </w:t>
      </w:r>
      <w:r w:rsidR="004A1411">
        <w:t>Releases are generally timed to coincide</w:t>
      </w:r>
      <w:r w:rsidR="004E0007">
        <w:t xml:space="preserve"> with events such as the spring and fall whooping crane migrations; other releases are made for channel maintenance and species benefits for interior least terns and piping plovers.</w:t>
      </w:r>
      <w:r w:rsidR="001E15C4">
        <w:t xml:space="preserve">  While Lake McConaughy EA releases do contribute to target flow deficit reductions at times, the account is typically not operated specifically for that purpose.</w:t>
      </w:r>
      <w:r w:rsidR="00BC7BD3">
        <w:t xml:space="preserve">  </w:t>
      </w:r>
      <w:r w:rsidR="004E0007">
        <w:t xml:space="preserve">  </w:t>
      </w:r>
    </w:p>
    <w:p w14:paraId="4D7B8680" w14:textId="77777777" w:rsidR="00E72742" w:rsidRDefault="00E72742" w:rsidP="00E72742"/>
    <w:p w14:paraId="2198C326" w14:textId="1157F31E" w:rsidR="005E703D" w:rsidRDefault="000A4F75" w:rsidP="00E72742">
      <w:r>
        <w:t>The</w:t>
      </w:r>
      <w:r w:rsidR="001E15C4">
        <w:t xml:space="preserve"> results of the </w:t>
      </w:r>
      <w:r>
        <w:t xml:space="preserve">Lake McConaughy EA accounting </w:t>
      </w:r>
      <w:r w:rsidR="001E15C4">
        <w:t>analysis are</w:t>
      </w:r>
      <w:r w:rsidR="00DA213B">
        <w:t xml:space="preserve"> </w:t>
      </w:r>
      <w:r>
        <w:t xml:space="preserve">presented in </w:t>
      </w:r>
      <w:r w:rsidRPr="000A4F75">
        <w:rPr>
          <w:b/>
        </w:rPr>
        <w:t xml:space="preserve">Table </w:t>
      </w:r>
      <w:r w:rsidR="00E72742">
        <w:rPr>
          <w:b/>
        </w:rPr>
        <w:t>20</w:t>
      </w:r>
      <w:r>
        <w:t>.</w:t>
      </w:r>
      <w:r w:rsidR="00111573">
        <w:t xml:space="preserve">  The calculations are done on a daily basis, then summed to get monthly and annual values.</w:t>
      </w:r>
      <w:r w:rsidR="001E3D5A">
        <w:t xml:space="preserve">  </w:t>
      </w:r>
      <w:r w:rsidR="00BC7BD3">
        <w:t xml:space="preserve">Total accruals correspond to the last column in </w:t>
      </w:r>
      <w:r w:rsidR="00BC7BD3" w:rsidRPr="00E72742">
        <w:t xml:space="preserve">Table </w:t>
      </w:r>
      <w:r w:rsidR="00E72742" w:rsidRPr="00E72742">
        <w:t>1</w:t>
      </w:r>
      <w:r w:rsidR="00E72742">
        <w:t>9</w:t>
      </w:r>
      <w:r w:rsidR="00BC7BD3">
        <w:t xml:space="preserve"> above.  Losses include evaporation, seepage, and the account resets that occurred in 2011 and 2016</w:t>
      </w:r>
      <w:r w:rsidR="000A50E5">
        <w:t xml:space="preserve"> and are based on the Kingsley Summary spreadsheets periodically distributed by NDNR</w:t>
      </w:r>
      <w:r w:rsidR="00BC7BD3">
        <w:t xml:space="preserve">.  </w:t>
      </w:r>
      <w:r w:rsidR="000A50E5">
        <w:t xml:space="preserve">EA releases can be tracked from Lake McConaughy to Grand Island in the PWAP daily reports generated by NDNR.  Reported </w:t>
      </w:r>
      <w:r w:rsidR="00BC7BD3">
        <w:t xml:space="preserve">values </w:t>
      </w:r>
      <w:r w:rsidR="001E3D5A">
        <w:t xml:space="preserve">based on NDNR records </w:t>
      </w:r>
      <w:r w:rsidR="00BC7BD3">
        <w:t xml:space="preserve">or modeling </w:t>
      </w:r>
      <w:r w:rsidR="001E3D5A">
        <w:t>are not rounded</w:t>
      </w:r>
      <w:r w:rsidR="000A50E5">
        <w:t>, but the e</w:t>
      </w:r>
      <w:r w:rsidR="00BC7BD3">
        <w:t>stimated reductions to target flow deficits are rounded to the nearest 100 AF</w:t>
      </w:r>
      <w:r w:rsidR="001E3D5A">
        <w:t>.</w:t>
      </w:r>
      <w:r w:rsidR="001E15C4">
        <w:t xml:space="preserve">  </w:t>
      </w:r>
      <w:r w:rsidR="00804A3D">
        <w:t>Total and average values are shown</w:t>
      </w:r>
      <w:r w:rsidR="009247B9">
        <w:t xml:space="preserve"> in </w:t>
      </w:r>
      <w:r w:rsidR="009247B9" w:rsidRPr="00E72742">
        <w:t xml:space="preserve">Table </w:t>
      </w:r>
      <w:r w:rsidR="00E72742" w:rsidRPr="00E72742">
        <w:t>2</w:t>
      </w:r>
      <w:r w:rsidR="00E72742">
        <w:t>0</w:t>
      </w:r>
      <w:r w:rsidR="00804A3D">
        <w:t xml:space="preserve"> for </w:t>
      </w:r>
      <w:r w:rsidR="00AE7A32">
        <w:t xml:space="preserve">all years </w:t>
      </w:r>
      <w:r w:rsidR="001E15C4">
        <w:t>since the start of the Program</w:t>
      </w:r>
      <w:r w:rsidR="00AE7A32">
        <w:t xml:space="preserve"> (2007-20</w:t>
      </w:r>
      <w:r w:rsidR="001E15C4">
        <w:t>20</w:t>
      </w:r>
      <w:r w:rsidR="00AE7A32">
        <w:t>) as well as the period 2012-20</w:t>
      </w:r>
      <w:r w:rsidR="001E15C4">
        <w:t>20</w:t>
      </w:r>
      <w:r w:rsidR="00AE7A32">
        <w:t xml:space="preserve"> to emphasize the significant shift in Lake McConaughy EA operations once the Pathfinder </w:t>
      </w:r>
      <w:r w:rsidR="00AE7A32">
        <w:lastRenderedPageBreak/>
        <w:t>Modification Project was completed in 2012 and began making releases from the Pathfinder EA and the Pathfinder Municipal Account</w:t>
      </w:r>
      <w:r w:rsidR="001E15C4">
        <w:t>.</w:t>
      </w:r>
    </w:p>
    <w:p w14:paraId="229DD1E8" w14:textId="77777777" w:rsidR="00E72742" w:rsidRPr="009576DB" w:rsidRDefault="00E72742" w:rsidP="00E72742"/>
    <w:p w14:paraId="61F28CEA" w14:textId="33B5EC6A" w:rsidR="000F5112" w:rsidRPr="0039677D" w:rsidRDefault="000F5112" w:rsidP="00E72742">
      <w:pPr>
        <w:rPr>
          <w:b/>
          <w:sz w:val="22"/>
        </w:rPr>
      </w:pPr>
      <w:r w:rsidRPr="001D013D">
        <w:rPr>
          <w:b/>
          <w:sz w:val="22"/>
        </w:rPr>
        <w:t xml:space="preserve">Table </w:t>
      </w:r>
      <w:r w:rsidR="00E72742">
        <w:rPr>
          <w:b/>
          <w:sz w:val="22"/>
        </w:rPr>
        <w:t>20</w:t>
      </w:r>
      <w:r w:rsidR="009D4FD7">
        <w:rPr>
          <w:b/>
          <w:sz w:val="22"/>
        </w:rPr>
        <w:t>.</w:t>
      </w:r>
      <w:r>
        <w:rPr>
          <w:b/>
          <w:sz w:val="22"/>
        </w:rPr>
        <w:t xml:space="preserve"> Lake McConaughy EA</w:t>
      </w:r>
      <w:r w:rsidRPr="001D013D">
        <w:rPr>
          <w:b/>
          <w:sz w:val="22"/>
        </w:rPr>
        <w:t xml:space="preserve"> </w:t>
      </w:r>
      <w:r w:rsidR="0025511D">
        <w:rPr>
          <w:b/>
          <w:sz w:val="22"/>
        </w:rPr>
        <w:t>Operations Accounting, 2007-2020</w:t>
      </w:r>
    </w:p>
    <w:tbl>
      <w:tblPr>
        <w:tblW w:w="5000" w:type="pct"/>
        <w:tblLayout w:type="fixed"/>
        <w:tblLook w:val="04A0" w:firstRow="1" w:lastRow="0" w:firstColumn="1" w:lastColumn="0" w:noHBand="0" w:noVBand="1"/>
      </w:tblPr>
      <w:tblGrid>
        <w:gridCol w:w="1557"/>
        <w:gridCol w:w="1557"/>
        <w:gridCol w:w="1560"/>
        <w:gridCol w:w="1558"/>
        <w:gridCol w:w="1558"/>
        <w:gridCol w:w="1560"/>
      </w:tblGrid>
      <w:tr w:rsidR="00296E76" w:rsidRPr="0039677D" w14:paraId="0A28723D" w14:textId="77777777" w:rsidTr="00296E76">
        <w:trPr>
          <w:trHeight w:val="593"/>
        </w:trPr>
        <w:tc>
          <w:tcPr>
            <w:tcW w:w="833" w:type="pct"/>
            <w:tcBorders>
              <w:top w:val="single" w:sz="4" w:space="0" w:color="auto"/>
              <w:left w:val="single" w:sz="4" w:space="0" w:color="auto"/>
              <w:bottom w:val="single" w:sz="4" w:space="0" w:color="auto"/>
              <w:right w:val="single" w:sz="4" w:space="0" w:color="auto"/>
            </w:tcBorders>
            <w:shd w:val="clear" w:color="auto" w:fill="C2D69B" w:themeFill="accent3" w:themeFillTint="99"/>
            <w:vAlign w:val="bottom"/>
            <w:hideMark/>
          </w:tcPr>
          <w:p w14:paraId="3114D3F6" w14:textId="30545652" w:rsidR="00296E76" w:rsidRPr="00B51A18" w:rsidRDefault="00296E76" w:rsidP="00B76952">
            <w:pPr>
              <w:jc w:val="center"/>
              <w:rPr>
                <w:b/>
                <w:bCs/>
                <w:color w:val="000000"/>
                <w:sz w:val="22"/>
              </w:rPr>
            </w:pPr>
            <w:r w:rsidRPr="00B51A18">
              <w:rPr>
                <w:b/>
                <w:bCs/>
                <w:color w:val="000000"/>
                <w:sz w:val="22"/>
              </w:rPr>
              <w:t xml:space="preserve">Year </w:t>
            </w:r>
          </w:p>
        </w:tc>
        <w:tc>
          <w:tcPr>
            <w:tcW w:w="833" w:type="pct"/>
            <w:tcBorders>
              <w:top w:val="single" w:sz="4" w:space="0" w:color="auto"/>
              <w:left w:val="nil"/>
              <w:bottom w:val="single" w:sz="4" w:space="0" w:color="auto"/>
              <w:right w:val="single" w:sz="4" w:space="0" w:color="auto"/>
            </w:tcBorders>
            <w:shd w:val="clear" w:color="auto" w:fill="C2D69B" w:themeFill="accent3" w:themeFillTint="99"/>
            <w:vAlign w:val="bottom"/>
            <w:hideMark/>
          </w:tcPr>
          <w:p w14:paraId="07144DE0" w14:textId="0260B8DC" w:rsidR="00296E76" w:rsidRPr="00B51A18" w:rsidRDefault="001E15C4" w:rsidP="00B76952">
            <w:pPr>
              <w:jc w:val="center"/>
              <w:rPr>
                <w:b/>
                <w:bCs/>
                <w:color w:val="000000"/>
                <w:sz w:val="22"/>
              </w:rPr>
            </w:pPr>
            <w:r>
              <w:rPr>
                <w:b/>
                <w:bCs/>
                <w:color w:val="000000"/>
                <w:sz w:val="22"/>
              </w:rPr>
              <w:t>Total</w:t>
            </w:r>
            <w:r w:rsidR="00296E76" w:rsidRPr="00B51A18">
              <w:rPr>
                <w:b/>
                <w:bCs/>
                <w:color w:val="000000"/>
                <w:sz w:val="22"/>
              </w:rPr>
              <w:t xml:space="preserve"> Accruals to EA</w:t>
            </w:r>
          </w:p>
          <w:p w14:paraId="30FC451F" w14:textId="2759CC91" w:rsidR="00296E76" w:rsidRPr="00B51A18" w:rsidRDefault="00296E76" w:rsidP="00B76952">
            <w:pPr>
              <w:jc w:val="center"/>
              <w:rPr>
                <w:b/>
                <w:bCs/>
                <w:color w:val="000000"/>
                <w:sz w:val="22"/>
              </w:rPr>
            </w:pPr>
            <w:r w:rsidRPr="00B51A18">
              <w:rPr>
                <w:b/>
                <w:bCs/>
                <w:color w:val="000000"/>
                <w:sz w:val="22"/>
              </w:rPr>
              <w:t xml:space="preserve"> (AF)</w:t>
            </w:r>
          </w:p>
        </w:tc>
        <w:tc>
          <w:tcPr>
            <w:tcW w:w="834" w:type="pct"/>
            <w:tcBorders>
              <w:top w:val="single" w:sz="4" w:space="0" w:color="auto"/>
              <w:left w:val="nil"/>
              <w:bottom w:val="single" w:sz="4" w:space="0" w:color="auto"/>
              <w:right w:val="single" w:sz="4" w:space="0" w:color="auto"/>
            </w:tcBorders>
            <w:shd w:val="clear" w:color="auto" w:fill="C2D69B" w:themeFill="accent3" w:themeFillTint="99"/>
            <w:vAlign w:val="bottom"/>
            <w:hideMark/>
          </w:tcPr>
          <w:p w14:paraId="58F47952" w14:textId="53A0850C" w:rsidR="00296E76" w:rsidRPr="00B51A18" w:rsidRDefault="00296E76" w:rsidP="00B76952">
            <w:pPr>
              <w:jc w:val="center"/>
              <w:rPr>
                <w:b/>
                <w:bCs/>
                <w:color w:val="000000"/>
                <w:sz w:val="22"/>
              </w:rPr>
            </w:pPr>
            <w:r w:rsidRPr="00B51A18">
              <w:rPr>
                <w:b/>
                <w:bCs/>
                <w:color w:val="000000"/>
                <w:sz w:val="22"/>
              </w:rPr>
              <w:t>Net Losses</w:t>
            </w:r>
          </w:p>
          <w:p w14:paraId="35DF2E6F" w14:textId="42A96EA9" w:rsidR="00296E76" w:rsidRPr="00B51A18" w:rsidRDefault="00296E76" w:rsidP="00B76952">
            <w:pPr>
              <w:jc w:val="center"/>
              <w:rPr>
                <w:b/>
                <w:bCs/>
                <w:color w:val="000000"/>
                <w:sz w:val="22"/>
              </w:rPr>
            </w:pPr>
            <w:r w:rsidRPr="00B51A18">
              <w:rPr>
                <w:b/>
                <w:bCs/>
                <w:color w:val="000000"/>
                <w:sz w:val="22"/>
              </w:rPr>
              <w:t>(AF)</w:t>
            </w:r>
          </w:p>
        </w:tc>
        <w:tc>
          <w:tcPr>
            <w:tcW w:w="833" w:type="pct"/>
            <w:tcBorders>
              <w:top w:val="single" w:sz="4" w:space="0" w:color="auto"/>
              <w:left w:val="single" w:sz="4" w:space="0" w:color="auto"/>
              <w:bottom w:val="single" w:sz="4" w:space="0" w:color="auto"/>
              <w:right w:val="single" w:sz="4" w:space="0" w:color="auto"/>
            </w:tcBorders>
            <w:shd w:val="clear" w:color="auto" w:fill="C2D69B" w:themeFill="accent3" w:themeFillTint="99"/>
            <w:vAlign w:val="bottom"/>
          </w:tcPr>
          <w:p w14:paraId="78E3EACE" w14:textId="77777777" w:rsidR="006A6D47" w:rsidRDefault="00296E76" w:rsidP="00B76952">
            <w:pPr>
              <w:jc w:val="center"/>
              <w:rPr>
                <w:b/>
                <w:bCs/>
                <w:color w:val="000000"/>
                <w:sz w:val="22"/>
              </w:rPr>
            </w:pPr>
            <w:r w:rsidRPr="00B51A18">
              <w:rPr>
                <w:b/>
                <w:bCs/>
                <w:color w:val="000000"/>
                <w:sz w:val="22"/>
              </w:rPr>
              <w:t>Total EA Releases</w:t>
            </w:r>
          </w:p>
          <w:p w14:paraId="4738A9C0" w14:textId="0DF7DCF2" w:rsidR="00296E76" w:rsidRPr="00B51A18" w:rsidRDefault="00296E76" w:rsidP="00B76952">
            <w:pPr>
              <w:jc w:val="center"/>
              <w:rPr>
                <w:b/>
                <w:bCs/>
                <w:color w:val="000000"/>
                <w:sz w:val="22"/>
              </w:rPr>
            </w:pPr>
            <w:r w:rsidRPr="00B51A18">
              <w:rPr>
                <w:b/>
                <w:bCs/>
                <w:color w:val="000000"/>
                <w:sz w:val="22"/>
              </w:rPr>
              <w:t xml:space="preserve"> (AF)</w:t>
            </w:r>
            <w:r w:rsidRPr="00B51A18">
              <w:rPr>
                <w:b/>
                <w:bCs/>
                <w:sz w:val="22"/>
                <w:vertAlign w:val="superscript"/>
              </w:rPr>
              <w:t xml:space="preserve"> </w:t>
            </w:r>
          </w:p>
        </w:tc>
        <w:tc>
          <w:tcPr>
            <w:tcW w:w="833" w:type="pct"/>
            <w:tcBorders>
              <w:top w:val="single" w:sz="4" w:space="0" w:color="auto"/>
              <w:left w:val="single" w:sz="4" w:space="0" w:color="auto"/>
              <w:bottom w:val="single" w:sz="4" w:space="0" w:color="auto"/>
              <w:right w:val="single" w:sz="4" w:space="0" w:color="auto"/>
            </w:tcBorders>
            <w:shd w:val="clear" w:color="auto" w:fill="C2D69B" w:themeFill="accent3" w:themeFillTint="99"/>
            <w:vAlign w:val="bottom"/>
          </w:tcPr>
          <w:p w14:paraId="63D50184" w14:textId="1E38B080" w:rsidR="00296E76" w:rsidRPr="00B51A18" w:rsidRDefault="002143D3" w:rsidP="00B76952">
            <w:pPr>
              <w:jc w:val="center"/>
              <w:rPr>
                <w:b/>
                <w:bCs/>
                <w:color w:val="000000"/>
                <w:sz w:val="22"/>
              </w:rPr>
            </w:pPr>
            <w:r>
              <w:rPr>
                <w:b/>
                <w:bCs/>
                <w:color w:val="000000"/>
                <w:sz w:val="22"/>
              </w:rPr>
              <w:t>EA Volume Reaching Grand Island</w:t>
            </w:r>
            <w:r w:rsidR="00296E76" w:rsidRPr="00B51A18">
              <w:rPr>
                <w:b/>
                <w:bCs/>
                <w:color w:val="000000"/>
                <w:sz w:val="22"/>
              </w:rPr>
              <w:t xml:space="preserve"> </w:t>
            </w:r>
          </w:p>
          <w:p w14:paraId="7DA80BD4" w14:textId="26AF1D99" w:rsidR="00296E76" w:rsidRPr="00B51A18" w:rsidRDefault="00296E76" w:rsidP="00B76952">
            <w:pPr>
              <w:jc w:val="center"/>
              <w:rPr>
                <w:b/>
                <w:bCs/>
                <w:color w:val="000000"/>
                <w:sz w:val="22"/>
              </w:rPr>
            </w:pPr>
            <w:r w:rsidRPr="00B51A18">
              <w:rPr>
                <w:b/>
                <w:bCs/>
                <w:color w:val="000000"/>
                <w:sz w:val="22"/>
              </w:rPr>
              <w:t>(AF)</w:t>
            </w:r>
            <w:r w:rsidRPr="00B51A18">
              <w:rPr>
                <w:b/>
                <w:bCs/>
                <w:sz w:val="22"/>
                <w:vertAlign w:val="superscript"/>
              </w:rPr>
              <w:t xml:space="preserve"> </w:t>
            </w:r>
          </w:p>
        </w:tc>
        <w:tc>
          <w:tcPr>
            <w:tcW w:w="834" w:type="pct"/>
            <w:tcBorders>
              <w:top w:val="single" w:sz="4" w:space="0" w:color="auto"/>
              <w:left w:val="single" w:sz="4" w:space="0" w:color="auto"/>
              <w:bottom w:val="single" w:sz="4" w:space="0" w:color="auto"/>
              <w:right w:val="single" w:sz="4" w:space="0" w:color="auto"/>
            </w:tcBorders>
            <w:shd w:val="clear" w:color="auto" w:fill="C2D69B" w:themeFill="accent3" w:themeFillTint="99"/>
            <w:vAlign w:val="bottom"/>
            <w:hideMark/>
          </w:tcPr>
          <w:p w14:paraId="32DAACEB" w14:textId="7FD7E2C2" w:rsidR="00296E76" w:rsidRPr="00B51A18" w:rsidRDefault="00296E76" w:rsidP="00B76952">
            <w:pPr>
              <w:jc w:val="center"/>
              <w:rPr>
                <w:b/>
                <w:bCs/>
                <w:color w:val="000000"/>
                <w:sz w:val="22"/>
              </w:rPr>
            </w:pPr>
            <w:r w:rsidRPr="00B51A18">
              <w:rPr>
                <w:b/>
                <w:bCs/>
                <w:color w:val="000000"/>
                <w:sz w:val="22"/>
              </w:rPr>
              <w:t xml:space="preserve">Reductions to </w:t>
            </w:r>
            <w:r w:rsidR="002143D3">
              <w:rPr>
                <w:b/>
                <w:bCs/>
                <w:color w:val="000000"/>
                <w:sz w:val="22"/>
              </w:rPr>
              <w:t xml:space="preserve">Target Flow </w:t>
            </w:r>
            <w:r w:rsidRPr="00B51A18">
              <w:rPr>
                <w:b/>
                <w:bCs/>
                <w:color w:val="000000"/>
                <w:sz w:val="22"/>
              </w:rPr>
              <w:t>Deficits</w:t>
            </w:r>
            <w:r w:rsidRPr="00B51A18">
              <w:rPr>
                <w:b/>
                <w:bCs/>
                <w:color w:val="000000"/>
                <w:sz w:val="22"/>
              </w:rPr>
              <w:br/>
              <w:t>(AF)</w:t>
            </w:r>
          </w:p>
        </w:tc>
      </w:tr>
      <w:tr w:rsidR="0063388D" w:rsidRPr="0039677D" w14:paraId="6B260C2F" w14:textId="77777777" w:rsidTr="00CC4E83">
        <w:trPr>
          <w:trHeight w:val="288"/>
        </w:trPr>
        <w:tc>
          <w:tcPr>
            <w:tcW w:w="833" w:type="pct"/>
            <w:tcBorders>
              <w:top w:val="nil"/>
              <w:left w:val="single" w:sz="4" w:space="0" w:color="auto"/>
              <w:bottom w:val="single" w:sz="4" w:space="0" w:color="auto"/>
              <w:right w:val="single" w:sz="4" w:space="0" w:color="auto"/>
            </w:tcBorders>
            <w:shd w:val="clear" w:color="auto" w:fill="auto"/>
            <w:noWrap/>
            <w:vAlign w:val="center"/>
          </w:tcPr>
          <w:p w14:paraId="4CB350D9" w14:textId="31673E90" w:rsidR="0063388D" w:rsidRPr="00CB28A8" w:rsidRDefault="0063388D" w:rsidP="0063388D">
            <w:pPr>
              <w:jc w:val="center"/>
              <w:rPr>
                <w:sz w:val="22"/>
              </w:rPr>
            </w:pPr>
            <w:r w:rsidRPr="00CB28A8">
              <w:rPr>
                <w:color w:val="000000"/>
                <w:sz w:val="22"/>
              </w:rPr>
              <w:t>2007</w:t>
            </w:r>
          </w:p>
        </w:tc>
        <w:tc>
          <w:tcPr>
            <w:tcW w:w="833" w:type="pct"/>
            <w:tcBorders>
              <w:top w:val="nil"/>
              <w:left w:val="nil"/>
              <w:bottom w:val="single" w:sz="4" w:space="0" w:color="auto"/>
              <w:right w:val="single" w:sz="4" w:space="0" w:color="auto"/>
            </w:tcBorders>
            <w:shd w:val="clear" w:color="auto" w:fill="auto"/>
            <w:noWrap/>
            <w:vAlign w:val="center"/>
          </w:tcPr>
          <w:p w14:paraId="163161A3" w14:textId="1DE4D85D" w:rsidR="0063388D" w:rsidRPr="001E15C4" w:rsidRDefault="0063388D" w:rsidP="0063388D">
            <w:pPr>
              <w:jc w:val="center"/>
              <w:rPr>
                <w:color w:val="000000"/>
                <w:sz w:val="22"/>
              </w:rPr>
            </w:pPr>
            <w:r w:rsidRPr="001E15C4">
              <w:rPr>
                <w:color w:val="000000"/>
                <w:sz w:val="22"/>
              </w:rPr>
              <w:t>34,794</w:t>
            </w:r>
          </w:p>
        </w:tc>
        <w:tc>
          <w:tcPr>
            <w:tcW w:w="834" w:type="pct"/>
            <w:tcBorders>
              <w:top w:val="nil"/>
              <w:left w:val="nil"/>
              <w:bottom w:val="single" w:sz="4" w:space="0" w:color="auto"/>
              <w:right w:val="single" w:sz="4" w:space="0" w:color="auto"/>
            </w:tcBorders>
            <w:shd w:val="clear" w:color="auto" w:fill="auto"/>
            <w:noWrap/>
            <w:vAlign w:val="center"/>
          </w:tcPr>
          <w:p w14:paraId="7F7B64A8" w14:textId="6F4D18DC" w:rsidR="0063388D" w:rsidRPr="001E15C4" w:rsidRDefault="0063388D" w:rsidP="0063388D">
            <w:pPr>
              <w:jc w:val="center"/>
              <w:rPr>
                <w:color w:val="000000"/>
                <w:sz w:val="22"/>
                <w:highlight w:val="yellow"/>
              </w:rPr>
            </w:pPr>
            <w:r w:rsidRPr="001E15C4">
              <w:rPr>
                <w:color w:val="000000"/>
                <w:sz w:val="22"/>
              </w:rPr>
              <w:t>17,282</w:t>
            </w:r>
          </w:p>
        </w:tc>
        <w:tc>
          <w:tcPr>
            <w:tcW w:w="833" w:type="pct"/>
            <w:tcBorders>
              <w:top w:val="single" w:sz="4" w:space="0" w:color="auto"/>
              <w:left w:val="single" w:sz="4" w:space="0" w:color="auto"/>
              <w:bottom w:val="single" w:sz="4" w:space="0" w:color="auto"/>
              <w:right w:val="single" w:sz="4" w:space="0" w:color="auto"/>
            </w:tcBorders>
            <w:vAlign w:val="center"/>
          </w:tcPr>
          <w:p w14:paraId="6D8041C0" w14:textId="7BBFAF26" w:rsidR="0063388D" w:rsidRPr="001E15C4" w:rsidRDefault="0063388D" w:rsidP="0063388D">
            <w:pPr>
              <w:jc w:val="center"/>
              <w:rPr>
                <w:color w:val="000000"/>
                <w:sz w:val="22"/>
              </w:rPr>
            </w:pPr>
            <w:r w:rsidRPr="001E15C4">
              <w:rPr>
                <w:color w:val="000000"/>
                <w:sz w:val="22"/>
              </w:rPr>
              <w:t>34,374</w:t>
            </w:r>
          </w:p>
        </w:tc>
        <w:tc>
          <w:tcPr>
            <w:tcW w:w="833" w:type="pct"/>
            <w:tcBorders>
              <w:top w:val="single" w:sz="4" w:space="0" w:color="auto"/>
              <w:left w:val="single" w:sz="4" w:space="0" w:color="auto"/>
              <w:bottom w:val="single" w:sz="4" w:space="0" w:color="auto"/>
              <w:right w:val="single" w:sz="4" w:space="0" w:color="auto"/>
            </w:tcBorders>
            <w:vAlign w:val="center"/>
          </w:tcPr>
          <w:p w14:paraId="6C675AC8" w14:textId="369822F9" w:rsidR="0063388D" w:rsidRPr="0063388D" w:rsidRDefault="0063388D" w:rsidP="0063388D">
            <w:pPr>
              <w:jc w:val="center"/>
              <w:rPr>
                <w:color w:val="000000"/>
                <w:sz w:val="22"/>
              </w:rPr>
            </w:pPr>
            <w:r w:rsidRPr="0063388D">
              <w:rPr>
                <w:color w:val="000000"/>
                <w:sz w:val="22"/>
              </w:rPr>
              <w:t>24,406</w:t>
            </w:r>
          </w:p>
        </w:tc>
        <w:tc>
          <w:tcPr>
            <w:tcW w:w="834" w:type="pct"/>
            <w:tcBorders>
              <w:top w:val="nil"/>
              <w:left w:val="single" w:sz="4" w:space="0" w:color="auto"/>
              <w:bottom w:val="single" w:sz="4" w:space="0" w:color="auto"/>
              <w:right w:val="single" w:sz="4" w:space="0" w:color="auto"/>
            </w:tcBorders>
            <w:shd w:val="clear" w:color="auto" w:fill="auto"/>
            <w:noWrap/>
            <w:vAlign w:val="center"/>
          </w:tcPr>
          <w:p w14:paraId="5412AA8F" w14:textId="225FF919" w:rsidR="0063388D" w:rsidRPr="00CB28A8" w:rsidRDefault="0063388D" w:rsidP="0063388D">
            <w:pPr>
              <w:jc w:val="center"/>
              <w:rPr>
                <w:color w:val="000000"/>
                <w:sz w:val="22"/>
              </w:rPr>
            </w:pPr>
            <w:r w:rsidRPr="00CB28A8">
              <w:rPr>
                <w:color w:val="000000"/>
                <w:sz w:val="22"/>
              </w:rPr>
              <w:t>13,000</w:t>
            </w:r>
          </w:p>
        </w:tc>
      </w:tr>
      <w:tr w:rsidR="0063388D" w:rsidRPr="0039677D" w14:paraId="4839964D" w14:textId="77777777" w:rsidTr="00CC4E83">
        <w:trPr>
          <w:trHeight w:val="288"/>
        </w:trPr>
        <w:tc>
          <w:tcPr>
            <w:tcW w:w="833" w:type="pct"/>
            <w:tcBorders>
              <w:top w:val="nil"/>
              <w:left w:val="single" w:sz="4" w:space="0" w:color="auto"/>
              <w:bottom w:val="single" w:sz="4" w:space="0" w:color="auto"/>
              <w:right w:val="single" w:sz="4" w:space="0" w:color="auto"/>
            </w:tcBorders>
            <w:shd w:val="clear" w:color="auto" w:fill="auto"/>
            <w:noWrap/>
            <w:vAlign w:val="center"/>
          </w:tcPr>
          <w:p w14:paraId="2DAE57EB" w14:textId="0333C839" w:rsidR="0063388D" w:rsidRPr="00CB28A8" w:rsidRDefault="0063388D" w:rsidP="0063388D">
            <w:pPr>
              <w:jc w:val="center"/>
              <w:rPr>
                <w:sz w:val="22"/>
              </w:rPr>
            </w:pPr>
            <w:r w:rsidRPr="00CB28A8">
              <w:rPr>
                <w:color w:val="000000"/>
                <w:sz w:val="22"/>
              </w:rPr>
              <w:t>2008</w:t>
            </w:r>
          </w:p>
        </w:tc>
        <w:tc>
          <w:tcPr>
            <w:tcW w:w="833" w:type="pct"/>
            <w:tcBorders>
              <w:top w:val="nil"/>
              <w:left w:val="nil"/>
              <w:bottom w:val="single" w:sz="4" w:space="0" w:color="auto"/>
              <w:right w:val="single" w:sz="4" w:space="0" w:color="auto"/>
            </w:tcBorders>
            <w:shd w:val="clear" w:color="auto" w:fill="auto"/>
            <w:noWrap/>
            <w:vAlign w:val="center"/>
          </w:tcPr>
          <w:p w14:paraId="146F9B21" w14:textId="03AF2F22" w:rsidR="0063388D" w:rsidRPr="001E15C4" w:rsidRDefault="0063388D" w:rsidP="0063388D">
            <w:pPr>
              <w:jc w:val="center"/>
              <w:rPr>
                <w:color w:val="000000"/>
                <w:sz w:val="22"/>
              </w:rPr>
            </w:pPr>
            <w:r w:rsidRPr="001E15C4">
              <w:rPr>
                <w:color w:val="000000"/>
                <w:sz w:val="22"/>
              </w:rPr>
              <w:t>37,681</w:t>
            </w:r>
          </w:p>
        </w:tc>
        <w:tc>
          <w:tcPr>
            <w:tcW w:w="834" w:type="pct"/>
            <w:tcBorders>
              <w:top w:val="nil"/>
              <w:left w:val="nil"/>
              <w:bottom w:val="single" w:sz="4" w:space="0" w:color="auto"/>
              <w:right w:val="single" w:sz="4" w:space="0" w:color="auto"/>
            </w:tcBorders>
            <w:shd w:val="clear" w:color="auto" w:fill="auto"/>
            <w:noWrap/>
            <w:vAlign w:val="center"/>
          </w:tcPr>
          <w:p w14:paraId="189F02C7" w14:textId="72AFD53C" w:rsidR="0063388D" w:rsidRPr="001E15C4" w:rsidRDefault="0063388D" w:rsidP="0063388D">
            <w:pPr>
              <w:jc w:val="center"/>
              <w:rPr>
                <w:color w:val="000000"/>
                <w:sz w:val="22"/>
                <w:highlight w:val="yellow"/>
              </w:rPr>
            </w:pPr>
            <w:r w:rsidRPr="001E15C4">
              <w:rPr>
                <w:color w:val="000000"/>
                <w:sz w:val="22"/>
              </w:rPr>
              <w:t>17,650</w:t>
            </w:r>
          </w:p>
        </w:tc>
        <w:tc>
          <w:tcPr>
            <w:tcW w:w="833" w:type="pct"/>
            <w:tcBorders>
              <w:top w:val="single" w:sz="4" w:space="0" w:color="auto"/>
              <w:left w:val="single" w:sz="4" w:space="0" w:color="auto"/>
              <w:bottom w:val="single" w:sz="4" w:space="0" w:color="auto"/>
              <w:right w:val="single" w:sz="4" w:space="0" w:color="auto"/>
            </w:tcBorders>
            <w:vAlign w:val="center"/>
          </w:tcPr>
          <w:p w14:paraId="03705A6E" w14:textId="5E944D3D" w:rsidR="0063388D" w:rsidRPr="001E15C4" w:rsidRDefault="0063388D" w:rsidP="0063388D">
            <w:pPr>
              <w:jc w:val="center"/>
              <w:rPr>
                <w:color w:val="000000"/>
                <w:sz w:val="22"/>
              </w:rPr>
            </w:pPr>
            <w:r w:rsidRPr="001E15C4">
              <w:rPr>
                <w:color w:val="000000"/>
                <w:sz w:val="22"/>
              </w:rPr>
              <w:t>30,123</w:t>
            </w:r>
          </w:p>
        </w:tc>
        <w:tc>
          <w:tcPr>
            <w:tcW w:w="833" w:type="pct"/>
            <w:tcBorders>
              <w:top w:val="single" w:sz="4" w:space="0" w:color="auto"/>
              <w:left w:val="single" w:sz="4" w:space="0" w:color="auto"/>
              <w:bottom w:val="single" w:sz="4" w:space="0" w:color="auto"/>
              <w:right w:val="single" w:sz="4" w:space="0" w:color="auto"/>
            </w:tcBorders>
            <w:vAlign w:val="center"/>
          </w:tcPr>
          <w:p w14:paraId="0849D0A8" w14:textId="05828546" w:rsidR="0063388D" w:rsidRPr="0063388D" w:rsidRDefault="0063388D" w:rsidP="0063388D">
            <w:pPr>
              <w:jc w:val="center"/>
              <w:rPr>
                <w:color w:val="000000"/>
                <w:sz w:val="22"/>
              </w:rPr>
            </w:pPr>
            <w:r w:rsidRPr="0063388D">
              <w:rPr>
                <w:color w:val="000000"/>
                <w:sz w:val="22"/>
              </w:rPr>
              <w:t>17,833</w:t>
            </w:r>
          </w:p>
        </w:tc>
        <w:tc>
          <w:tcPr>
            <w:tcW w:w="834" w:type="pct"/>
            <w:tcBorders>
              <w:top w:val="nil"/>
              <w:left w:val="single" w:sz="4" w:space="0" w:color="auto"/>
              <w:bottom w:val="single" w:sz="4" w:space="0" w:color="auto"/>
              <w:right w:val="single" w:sz="4" w:space="0" w:color="auto"/>
            </w:tcBorders>
            <w:shd w:val="clear" w:color="auto" w:fill="auto"/>
            <w:noWrap/>
            <w:vAlign w:val="center"/>
          </w:tcPr>
          <w:p w14:paraId="12D67455" w14:textId="70EE4C7D" w:rsidR="0063388D" w:rsidRPr="00CB28A8" w:rsidRDefault="0063388D" w:rsidP="0063388D">
            <w:pPr>
              <w:jc w:val="center"/>
              <w:rPr>
                <w:color w:val="000000"/>
                <w:sz w:val="22"/>
              </w:rPr>
            </w:pPr>
            <w:r w:rsidRPr="00CB28A8">
              <w:rPr>
                <w:color w:val="000000"/>
                <w:sz w:val="22"/>
              </w:rPr>
              <w:t>13,400</w:t>
            </w:r>
          </w:p>
        </w:tc>
      </w:tr>
      <w:tr w:rsidR="0063388D" w:rsidRPr="0039677D" w14:paraId="01803067" w14:textId="77777777" w:rsidTr="00CC4E83">
        <w:trPr>
          <w:trHeight w:val="288"/>
        </w:trPr>
        <w:tc>
          <w:tcPr>
            <w:tcW w:w="833" w:type="pct"/>
            <w:tcBorders>
              <w:top w:val="nil"/>
              <w:left w:val="single" w:sz="4" w:space="0" w:color="auto"/>
              <w:bottom w:val="single" w:sz="4" w:space="0" w:color="auto"/>
              <w:right w:val="single" w:sz="4" w:space="0" w:color="auto"/>
            </w:tcBorders>
            <w:shd w:val="clear" w:color="auto" w:fill="auto"/>
            <w:noWrap/>
            <w:vAlign w:val="center"/>
          </w:tcPr>
          <w:p w14:paraId="6447F55E" w14:textId="743C267A" w:rsidR="0063388D" w:rsidRPr="00CB28A8" w:rsidRDefault="0063388D" w:rsidP="0063388D">
            <w:pPr>
              <w:jc w:val="center"/>
              <w:rPr>
                <w:sz w:val="22"/>
              </w:rPr>
            </w:pPr>
            <w:r w:rsidRPr="00CB28A8">
              <w:rPr>
                <w:color w:val="000000"/>
                <w:sz w:val="22"/>
              </w:rPr>
              <w:t>2009</w:t>
            </w:r>
          </w:p>
        </w:tc>
        <w:tc>
          <w:tcPr>
            <w:tcW w:w="833" w:type="pct"/>
            <w:tcBorders>
              <w:top w:val="nil"/>
              <w:left w:val="nil"/>
              <w:bottom w:val="single" w:sz="4" w:space="0" w:color="auto"/>
              <w:right w:val="single" w:sz="4" w:space="0" w:color="auto"/>
            </w:tcBorders>
            <w:shd w:val="clear" w:color="auto" w:fill="auto"/>
            <w:noWrap/>
            <w:vAlign w:val="center"/>
          </w:tcPr>
          <w:p w14:paraId="379CF87B" w14:textId="7A641378" w:rsidR="0063388D" w:rsidRPr="001E15C4" w:rsidRDefault="0063388D" w:rsidP="0063388D">
            <w:pPr>
              <w:jc w:val="center"/>
              <w:rPr>
                <w:color w:val="000000"/>
                <w:sz w:val="22"/>
              </w:rPr>
            </w:pPr>
            <w:r w:rsidRPr="001E15C4">
              <w:rPr>
                <w:color w:val="000000"/>
                <w:sz w:val="22"/>
              </w:rPr>
              <w:t>40,016</w:t>
            </w:r>
          </w:p>
        </w:tc>
        <w:tc>
          <w:tcPr>
            <w:tcW w:w="834" w:type="pct"/>
            <w:tcBorders>
              <w:top w:val="nil"/>
              <w:left w:val="nil"/>
              <w:bottom w:val="single" w:sz="4" w:space="0" w:color="auto"/>
              <w:right w:val="single" w:sz="4" w:space="0" w:color="auto"/>
            </w:tcBorders>
            <w:shd w:val="clear" w:color="auto" w:fill="auto"/>
            <w:noWrap/>
            <w:vAlign w:val="center"/>
          </w:tcPr>
          <w:p w14:paraId="1BF55EA7" w14:textId="6C4BDB87" w:rsidR="0063388D" w:rsidRPr="001E15C4" w:rsidRDefault="0063388D" w:rsidP="0063388D">
            <w:pPr>
              <w:jc w:val="center"/>
              <w:rPr>
                <w:color w:val="000000"/>
                <w:sz w:val="22"/>
                <w:highlight w:val="yellow"/>
              </w:rPr>
            </w:pPr>
            <w:r w:rsidRPr="001E15C4">
              <w:rPr>
                <w:color w:val="000000"/>
                <w:sz w:val="22"/>
              </w:rPr>
              <w:t>9,199</w:t>
            </w:r>
          </w:p>
        </w:tc>
        <w:tc>
          <w:tcPr>
            <w:tcW w:w="833" w:type="pct"/>
            <w:tcBorders>
              <w:top w:val="single" w:sz="4" w:space="0" w:color="auto"/>
              <w:left w:val="single" w:sz="4" w:space="0" w:color="auto"/>
              <w:bottom w:val="single" w:sz="4" w:space="0" w:color="auto"/>
              <w:right w:val="single" w:sz="4" w:space="0" w:color="auto"/>
            </w:tcBorders>
            <w:vAlign w:val="center"/>
          </w:tcPr>
          <w:p w14:paraId="4ED9ECD1" w14:textId="3531AA7A" w:rsidR="0063388D" w:rsidRPr="001E15C4" w:rsidRDefault="0063388D" w:rsidP="0063388D">
            <w:pPr>
              <w:jc w:val="center"/>
              <w:rPr>
                <w:color w:val="000000"/>
                <w:sz w:val="22"/>
              </w:rPr>
            </w:pPr>
            <w:r w:rsidRPr="001E15C4">
              <w:rPr>
                <w:color w:val="000000"/>
                <w:sz w:val="22"/>
              </w:rPr>
              <w:t>22,953</w:t>
            </w:r>
          </w:p>
        </w:tc>
        <w:tc>
          <w:tcPr>
            <w:tcW w:w="833" w:type="pct"/>
            <w:tcBorders>
              <w:top w:val="single" w:sz="4" w:space="0" w:color="auto"/>
              <w:left w:val="single" w:sz="4" w:space="0" w:color="auto"/>
              <w:bottom w:val="single" w:sz="4" w:space="0" w:color="auto"/>
              <w:right w:val="single" w:sz="4" w:space="0" w:color="auto"/>
            </w:tcBorders>
            <w:vAlign w:val="center"/>
          </w:tcPr>
          <w:p w14:paraId="195EF927" w14:textId="7B3F8799" w:rsidR="0063388D" w:rsidRPr="0063388D" w:rsidRDefault="0063388D" w:rsidP="0063388D">
            <w:pPr>
              <w:jc w:val="center"/>
              <w:rPr>
                <w:color w:val="000000"/>
                <w:sz w:val="22"/>
              </w:rPr>
            </w:pPr>
            <w:r w:rsidRPr="0063388D">
              <w:rPr>
                <w:color w:val="000000"/>
                <w:sz w:val="22"/>
              </w:rPr>
              <w:t>13,313</w:t>
            </w:r>
          </w:p>
        </w:tc>
        <w:tc>
          <w:tcPr>
            <w:tcW w:w="834" w:type="pct"/>
            <w:tcBorders>
              <w:top w:val="nil"/>
              <w:left w:val="single" w:sz="4" w:space="0" w:color="auto"/>
              <w:bottom w:val="single" w:sz="4" w:space="0" w:color="auto"/>
              <w:right w:val="single" w:sz="4" w:space="0" w:color="auto"/>
            </w:tcBorders>
            <w:shd w:val="clear" w:color="auto" w:fill="auto"/>
            <w:noWrap/>
            <w:vAlign w:val="center"/>
          </w:tcPr>
          <w:p w14:paraId="6B88FDDE" w14:textId="2487456B" w:rsidR="0063388D" w:rsidRPr="00CB28A8" w:rsidRDefault="0063388D" w:rsidP="0063388D">
            <w:pPr>
              <w:jc w:val="center"/>
              <w:rPr>
                <w:color w:val="000000"/>
                <w:sz w:val="22"/>
              </w:rPr>
            </w:pPr>
            <w:r w:rsidRPr="00CB28A8">
              <w:rPr>
                <w:color w:val="000000"/>
                <w:sz w:val="22"/>
              </w:rPr>
              <w:t>8,200</w:t>
            </w:r>
          </w:p>
        </w:tc>
      </w:tr>
      <w:tr w:rsidR="0063388D" w:rsidRPr="0039677D" w14:paraId="3F6FB04A" w14:textId="77777777" w:rsidTr="00CC4E83">
        <w:trPr>
          <w:trHeight w:val="288"/>
        </w:trPr>
        <w:tc>
          <w:tcPr>
            <w:tcW w:w="833" w:type="pct"/>
            <w:tcBorders>
              <w:top w:val="nil"/>
              <w:left w:val="single" w:sz="4" w:space="0" w:color="auto"/>
              <w:bottom w:val="single" w:sz="4" w:space="0" w:color="auto"/>
              <w:right w:val="single" w:sz="4" w:space="0" w:color="auto"/>
            </w:tcBorders>
            <w:shd w:val="clear" w:color="auto" w:fill="auto"/>
            <w:noWrap/>
            <w:vAlign w:val="center"/>
          </w:tcPr>
          <w:p w14:paraId="2DCD918C" w14:textId="41700BCB" w:rsidR="0063388D" w:rsidRPr="00CB28A8" w:rsidRDefault="0063388D" w:rsidP="0063388D">
            <w:pPr>
              <w:jc w:val="center"/>
              <w:rPr>
                <w:sz w:val="22"/>
              </w:rPr>
            </w:pPr>
            <w:r w:rsidRPr="00CB28A8">
              <w:rPr>
                <w:color w:val="000000"/>
                <w:sz w:val="22"/>
              </w:rPr>
              <w:t>2010</w:t>
            </w:r>
          </w:p>
        </w:tc>
        <w:tc>
          <w:tcPr>
            <w:tcW w:w="833" w:type="pct"/>
            <w:tcBorders>
              <w:top w:val="nil"/>
              <w:left w:val="nil"/>
              <w:bottom w:val="single" w:sz="4" w:space="0" w:color="auto"/>
              <w:right w:val="single" w:sz="4" w:space="0" w:color="auto"/>
            </w:tcBorders>
            <w:shd w:val="clear" w:color="auto" w:fill="auto"/>
            <w:noWrap/>
            <w:vAlign w:val="center"/>
          </w:tcPr>
          <w:p w14:paraId="42556F31" w14:textId="4D65DB78" w:rsidR="0063388D" w:rsidRPr="001E15C4" w:rsidRDefault="0063388D" w:rsidP="0063388D">
            <w:pPr>
              <w:jc w:val="center"/>
              <w:rPr>
                <w:color w:val="000000"/>
                <w:sz w:val="22"/>
              </w:rPr>
            </w:pPr>
            <w:r w:rsidRPr="001E15C4">
              <w:rPr>
                <w:color w:val="000000"/>
                <w:sz w:val="22"/>
              </w:rPr>
              <w:t>37,548</w:t>
            </w:r>
          </w:p>
        </w:tc>
        <w:tc>
          <w:tcPr>
            <w:tcW w:w="834" w:type="pct"/>
            <w:tcBorders>
              <w:top w:val="nil"/>
              <w:left w:val="nil"/>
              <w:bottom w:val="single" w:sz="4" w:space="0" w:color="auto"/>
              <w:right w:val="single" w:sz="4" w:space="0" w:color="auto"/>
            </w:tcBorders>
            <w:shd w:val="clear" w:color="auto" w:fill="auto"/>
            <w:noWrap/>
            <w:vAlign w:val="center"/>
          </w:tcPr>
          <w:p w14:paraId="62978D24" w14:textId="57A15991" w:rsidR="0063388D" w:rsidRPr="001E15C4" w:rsidRDefault="0063388D" w:rsidP="0063388D">
            <w:pPr>
              <w:jc w:val="center"/>
              <w:rPr>
                <w:color w:val="000000"/>
                <w:sz w:val="22"/>
                <w:highlight w:val="yellow"/>
              </w:rPr>
            </w:pPr>
            <w:r w:rsidRPr="001E15C4">
              <w:rPr>
                <w:color w:val="000000"/>
                <w:sz w:val="22"/>
              </w:rPr>
              <w:t>8,941</w:t>
            </w:r>
          </w:p>
        </w:tc>
        <w:tc>
          <w:tcPr>
            <w:tcW w:w="833" w:type="pct"/>
            <w:tcBorders>
              <w:top w:val="single" w:sz="4" w:space="0" w:color="auto"/>
              <w:left w:val="single" w:sz="4" w:space="0" w:color="auto"/>
              <w:bottom w:val="single" w:sz="4" w:space="0" w:color="auto"/>
              <w:right w:val="single" w:sz="4" w:space="0" w:color="auto"/>
            </w:tcBorders>
            <w:vAlign w:val="center"/>
          </w:tcPr>
          <w:p w14:paraId="2A4E282B" w14:textId="63F5FABF" w:rsidR="0063388D" w:rsidRPr="001E15C4" w:rsidRDefault="0063388D" w:rsidP="0063388D">
            <w:pPr>
              <w:jc w:val="center"/>
              <w:rPr>
                <w:color w:val="000000"/>
                <w:sz w:val="22"/>
              </w:rPr>
            </w:pPr>
            <w:r w:rsidRPr="001E15C4">
              <w:rPr>
                <w:color w:val="000000"/>
                <w:sz w:val="22"/>
              </w:rPr>
              <w:t>0</w:t>
            </w:r>
          </w:p>
        </w:tc>
        <w:tc>
          <w:tcPr>
            <w:tcW w:w="833" w:type="pct"/>
            <w:tcBorders>
              <w:top w:val="single" w:sz="4" w:space="0" w:color="auto"/>
              <w:left w:val="single" w:sz="4" w:space="0" w:color="auto"/>
              <w:bottom w:val="single" w:sz="4" w:space="0" w:color="auto"/>
              <w:right w:val="single" w:sz="4" w:space="0" w:color="auto"/>
            </w:tcBorders>
            <w:vAlign w:val="center"/>
          </w:tcPr>
          <w:p w14:paraId="1367B6D7" w14:textId="4F41E920" w:rsidR="0063388D" w:rsidRPr="0063388D" w:rsidRDefault="0063388D" w:rsidP="0063388D">
            <w:pPr>
              <w:jc w:val="center"/>
              <w:rPr>
                <w:color w:val="000000"/>
                <w:sz w:val="22"/>
              </w:rPr>
            </w:pPr>
            <w:r w:rsidRPr="0063388D">
              <w:rPr>
                <w:color w:val="000000"/>
                <w:sz w:val="22"/>
              </w:rPr>
              <w:t>0</w:t>
            </w:r>
          </w:p>
        </w:tc>
        <w:tc>
          <w:tcPr>
            <w:tcW w:w="834" w:type="pct"/>
            <w:tcBorders>
              <w:top w:val="nil"/>
              <w:left w:val="single" w:sz="4" w:space="0" w:color="auto"/>
              <w:bottom w:val="single" w:sz="4" w:space="0" w:color="auto"/>
              <w:right w:val="single" w:sz="4" w:space="0" w:color="auto"/>
            </w:tcBorders>
            <w:shd w:val="clear" w:color="auto" w:fill="auto"/>
            <w:noWrap/>
            <w:vAlign w:val="center"/>
          </w:tcPr>
          <w:p w14:paraId="0CDE18F2" w14:textId="6FA3AC9D" w:rsidR="0063388D" w:rsidRPr="00CB28A8" w:rsidRDefault="0063388D" w:rsidP="0063388D">
            <w:pPr>
              <w:jc w:val="center"/>
              <w:rPr>
                <w:color w:val="000000"/>
                <w:sz w:val="22"/>
              </w:rPr>
            </w:pPr>
            <w:r w:rsidRPr="00CB28A8">
              <w:rPr>
                <w:color w:val="000000"/>
                <w:sz w:val="22"/>
              </w:rPr>
              <w:t>0</w:t>
            </w:r>
          </w:p>
        </w:tc>
      </w:tr>
      <w:tr w:rsidR="0063388D" w:rsidRPr="0039677D" w14:paraId="496337E3" w14:textId="77777777" w:rsidTr="00CC4E83">
        <w:trPr>
          <w:trHeight w:val="288"/>
        </w:trPr>
        <w:tc>
          <w:tcPr>
            <w:tcW w:w="833" w:type="pct"/>
            <w:tcBorders>
              <w:top w:val="nil"/>
              <w:left w:val="single" w:sz="4" w:space="0" w:color="auto"/>
              <w:bottom w:val="single" w:sz="4" w:space="0" w:color="auto"/>
              <w:right w:val="single" w:sz="4" w:space="0" w:color="auto"/>
            </w:tcBorders>
            <w:shd w:val="clear" w:color="auto" w:fill="auto"/>
            <w:noWrap/>
            <w:vAlign w:val="center"/>
          </w:tcPr>
          <w:p w14:paraId="3ACADF73" w14:textId="354A8841" w:rsidR="0063388D" w:rsidRPr="00CB28A8" w:rsidRDefault="0063388D" w:rsidP="0063388D">
            <w:pPr>
              <w:jc w:val="center"/>
              <w:rPr>
                <w:sz w:val="22"/>
              </w:rPr>
            </w:pPr>
            <w:r w:rsidRPr="00CB28A8">
              <w:rPr>
                <w:color w:val="000000"/>
                <w:sz w:val="22"/>
              </w:rPr>
              <w:t>2011</w:t>
            </w:r>
          </w:p>
        </w:tc>
        <w:tc>
          <w:tcPr>
            <w:tcW w:w="833" w:type="pct"/>
            <w:tcBorders>
              <w:top w:val="nil"/>
              <w:left w:val="nil"/>
              <w:bottom w:val="single" w:sz="4" w:space="0" w:color="auto"/>
              <w:right w:val="single" w:sz="4" w:space="0" w:color="auto"/>
            </w:tcBorders>
            <w:shd w:val="clear" w:color="auto" w:fill="auto"/>
            <w:noWrap/>
            <w:vAlign w:val="center"/>
          </w:tcPr>
          <w:p w14:paraId="13EB0D15" w14:textId="6EA160E1" w:rsidR="0063388D" w:rsidRPr="001E15C4" w:rsidRDefault="0063388D" w:rsidP="0063388D">
            <w:pPr>
              <w:jc w:val="center"/>
              <w:rPr>
                <w:color w:val="000000"/>
                <w:sz w:val="22"/>
              </w:rPr>
            </w:pPr>
            <w:r w:rsidRPr="001E15C4">
              <w:rPr>
                <w:color w:val="000000"/>
                <w:sz w:val="22"/>
              </w:rPr>
              <w:t>27,214</w:t>
            </w:r>
          </w:p>
        </w:tc>
        <w:tc>
          <w:tcPr>
            <w:tcW w:w="834" w:type="pct"/>
            <w:tcBorders>
              <w:top w:val="nil"/>
              <w:left w:val="nil"/>
              <w:bottom w:val="single" w:sz="4" w:space="0" w:color="auto"/>
              <w:right w:val="single" w:sz="4" w:space="0" w:color="auto"/>
            </w:tcBorders>
            <w:shd w:val="clear" w:color="auto" w:fill="auto"/>
            <w:noWrap/>
            <w:vAlign w:val="center"/>
          </w:tcPr>
          <w:p w14:paraId="3B618AFD" w14:textId="400E7C5E" w:rsidR="0063388D" w:rsidRPr="001E15C4" w:rsidRDefault="0063388D" w:rsidP="0063388D">
            <w:pPr>
              <w:jc w:val="center"/>
              <w:rPr>
                <w:color w:val="000000"/>
                <w:sz w:val="22"/>
                <w:highlight w:val="yellow"/>
              </w:rPr>
            </w:pPr>
            <w:r w:rsidRPr="001E15C4">
              <w:rPr>
                <w:color w:val="000000"/>
                <w:sz w:val="22"/>
              </w:rPr>
              <w:t>47,194</w:t>
            </w:r>
          </w:p>
        </w:tc>
        <w:tc>
          <w:tcPr>
            <w:tcW w:w="833" w:type="pct"/>
            <w:tcBorders>
              <w:top w:val="single" w:sz="4" w:space="0" w:color="auto"/>
              <w:left w:val="single" w:sz="4" w:space="0" w:color="auto"/>
              <w:bottom w:val="single" w:sz="4" w:space="0" w:color="auto"/>
              <w:right w:val="single" w:sz="4" w:space="0" w:color="auto"/>
            </w:tcBorders>
            <w:vAlign w:val="center"/>
          </w:tcPr>
          <w:p w14:paraId="1B51E776" w14:textId="06C5F9E5" w:rsidR="0063388D" w:rsidRPr="001E15C4" w:rsidRDefault="0063388D" w:rsidP="0063388D">
            <w:pPr>
              <w:jc w:val="center"/>
              <w:rPr>
                <w:color w:val="000000"/>
                <w:sz w:val="22"/>
              </w:rPr>
            </w:pPr>
            <w:r w:rsidRPr="001E15C4">
              <w:rPr>
                <w:color w:val="000000"/>
                <w:sz w:val="22"/>
              </w:rPr>
              <w:t>0</w:t>
            </w:r>
          </w:p>
        </w:tc>
        <w:tc>
          <w:tcPr>
            <w:tcW w:w="833" w:type="pct"/>
            <w:tcBorders>
              <w:top w:val="single" w:sz="4" w:space="0" w:color="auto"/>
              <w:left w:val="single" w:sz="4" w:space="0" w:color="auto"/>
              <w:bottom w:val="single" w:sz="4" w:space="0" w:color="auto"/>
              <w:right w:val="single" w:sz="4" w:space="0" w:color="auto"/>
            </w:tcBorders>
            <w:vAlign w:val="center"/>
          </w:tcPr>
          <w:p w14:paraId="30296ADE" w14:textId="2E9943DF" w:rsidR="0063388D" w:rsidRPr="0063388D" w:rsidRDefault="0063388D" w:rsidP="0063388D">
            <w:pPr>
              <w:jc w:val="center"/>
              <w:rPr>
                <w:color w:val="000000"/>
                <w:sz w:val="22"/>
              </w:rPr>
            </w:pPr>
            <w:r w:rsidRPr="0063388D">
              <w:rPr>
                <w:color w:val="000000"/>
                <w:sz w:val="22"/>
              </w:rPr>
              <w:t>0</w:t>
            </w:r>
          </w:p>
        </w:tc>
        <w:tc>
          <w:tcPr>
            <w:tcW w:w="834" w:type="pct"/>
            <w:tcBorders>
              <w:top w:val="nil"/>
              <w:left w:val="single" w:sz="4" w:space="0" w:color="auto"/>
              <w:bottom w:val="single" w:sz="4" w:space="0" w:color="auto"/>
              <w:right w:val="single" w:sz="4" w:space="0" w:color="auto"/>
            </w:tcBorders>
            <w:shd w:val="clear" w:color="auto" w:fill="auto"/>
            <w:noWrap/>
            <w:vAlign w:val="center"/>
          </w:tcPr>
          <w:p w14:paraId="3FF587B0" w14:textId="3C10A293" w:rsidR="0063388D" w:rsidRPr="00CB28A8" w:rsidRDefault="0063388D" w:rsidP="0063388D">
            <w:pPr>
              <w:jc w:val="center"/>
              <w:rPr>
                <w:color w:val="000000"/>
                <w:sz w:val="22"/>
              </w:rPr>
            </w:pPr>
            <w:r w:rsidRPr="00CB28A8">
              <w:rPr>
                <w:color w:val="000000"/>
                <w:sz w:val="22"/>
              </w:rPr>
              <w:t>0</w:t>
            </w:r>
          </w:p>
        </w:tc>
      </w:tr>
      <w:tr w:rsidR="0063388D" w:rsidRPr="0039677D" w14:paraId="43ABCB42" w14:textId="77777777" w:rsidTr="00CC4E83">
        <w:trPr>
          <w:trHeight w:val="288"/>
        </w:trPr>
        <w:tc>
          <w:tcPr>
            <w:tcW w:w="833" w:type="pct"/>
            <w:tcBorders>
              <w:top w:val="nil"/>
              <w:left w:val="single" w:sz="4" w:space="0" w:color="auto"/>
              <w:bottom w:val="single" w:sz="4" w:space="0" w:color="auto"/>
              <w:right w:val="single" w:sz="4" w:space="0" w:color="auto"/>
            </w:tcBorders>
            <w:shd w:val="clear" w:color="auto" w:fill="auto"/>
            <w:noWrap/>
            <w:vAlign w:val="center"/>
          </w:tcPr>
          <w:p w14:paraId="7E63EE35" w14:textId="6F3EF451" w:rsidR="0063388D" w:rsidRPr="00CB28A8" w:rsidRDefault="0063388D" w:rsidP="0063388D">
            <w:pPr>
              <w:jc w:val="center"/>
              <w:rPr>
                <w:sz w:val="22"/>
              </w:rPr>
            </w:pPr>
            <w:r w:rsidRPr="00CB28A8">
              <w:rPr>
                <w:color w:val="000000"/>
                <w:sz w:val="22"/>
              </w:rPr>
              <w:t>2012</w:t>
            </w:r>
          </w:p>
        </w:tc>
        <w:tc>
          <w:tcPr>
            <w:tcW w:w="833" w:type="pct"/>
            <w:tcBorders>
              <w:top w:val="nil"/>
              <w:left w:val="nil"/>
              <w:bottom w:val="single" w:sz="4" w:space="0" w:color="auto"/>
              <w:right w:val="single" w:sz="4" w:space="0" w:color="auto"/>
            </w:tcBorders>
            <w:shd w:val="clear" w:color="auto" w:fill="auto"/>
            <w:noWrap/>
            <w:vAlign w:val="center"/>
          </w:tcPr>
          <w:p w14:paraId="5AB652ED" w14:textId="74106E33" w:rsidR="0063388D" w:rsidRPr="001E15C4" w:rsidRDefault="0063388D" w:rsidP="0063388D">
            <w:pPr>
              <w:jc w:val="center"/>
              <w:rPr>
                <w:color w:val="000000"/>
                <w:sz w:val="22"/>
              </w:rPr>
            </w:pPr>
            <w:r w:rsidRPr="001E15C4">
              <w:rPr>
                <w:color w:val="000000"/>
                <w:sz w:val="22"/>
              </w:rPr>
              <w:t>68,157</w:t>
            </w:r>
          </w:p>
        </w:tc>
        <w:tc>
          <w:tcPr>
            <w:tcW w:w="834" w:type="pct"/>
            <w:tcBorders>
              <w:top w:val="nil"/>
              <w:left w:val="nil"/>
              <w:bottom w:val="single" w:sz="4" w:space="0" w:color="auto"/>
              <w:right w:val="single" w:sz="4" w:space="0" w:color="auto"/>
            </w:tcBorders>
            <w:shd w:val="clear" w:color="auto" w:fill="auto"/>
            <w:noWrap/>
            <w:vAlign w:val="center"/>
          </w:tcPr>
          <w:p w14:paraId="1F9828B0" w14:textId="35609A95" w:rsidR="0063388D" w:rsidRPr="001E15C4" w:rsidRDefault="0063388D" w:rsidP="0063388D">
            <w:pPr>
              <w:jc w:val="center"/>
              <w:rPr>
                <w:color w:val="000000"/>
                <w:sz w:val="22"/>
                <w:highlight w:val="yellow"/>
              </w:rPr>
            </w:pPr>
            <w:r w:rsidRPr="001E15C4">
              <w:rPr>
                <w:color w:val="000000"/>
                <w:sz w:val="22"/>
              </w:rPr>
              <w:t>11,135</w:t>
            </w:r>
          </w:p>
        </w:tc>
        <w:tc>
          <w:tcPr>
            <w:tcW w:w="833" w:type="pct"/>
            <w:tcBorders>
              <w:top w:val="single" w:sz="4" w:space="0" w:color="auto"/>
              <w:left w:val="single" w:sz="4" w:space="0" w:color="auto"/>
              <w:bottom w:val="single" w:sz="4" w:space="0" w:color="auto"/>
              <w:right w:val="single" w:sz="4" w:space="0" w:color="auto"/>
            </w:tcBorders>
            <w:vAlign w:val="center"/>
          </w:tcPr>
          <w:p w14:paraId="44983B38" w14:textId="561709F0" w:rsidR="0063388D" w:rsidRPr="001E15C4" w:rsidRDefault="0063388D" w:rsidP="0063388D">
            <w:pPr>
              <w:jc w:val="center"/>
              <w:rPr>
                <w:color w:val="000000"/>
                <w:sz w:val="22"/>
              </w:rPr>
            </w:pPr>
            <w:r w:rsidRPr="001E15C4">
              <w:rPr>
                <w:color w:val="000000"/>
                <w:sz w:val="22"/>
              </w:rPr>
              <w:t>80,969</w:t>
            </w:r>
          </w:p>
        </w:tc>
        <w:tc>
          <w:tcPr>
            <w:tcW w:w="833" w:type="pct"/>
            <w:tcBorders>
              <w:top w:val="single" w:sz="4" w:space="0" w:color="auto"/>
              <w:left w:val="single" w:sz="4" w:space="0" w:color="auto"/>
              <w:bottom w:val="single" w:sz="4" w:space="0" w:color="auto"/>
              <w:right w:val="single" w:sz="4" w:space="0" w:color="auto"/>
            </w:tcBorders>
            <w:vAlign w:val="center"/>
          </w:tcPr>
          <w:p w14:paraId="1F24A551" w14:textId="48CD9448" w:rsidR="0063388D" w:rsidRPr="0063388D" w:rsidRDefault="0063388D" w:rsidP="0063388D">
            <w:pPr>
              <w:jc w:val="center"/>
              <w:rPr>
                <w:color w:val="000000"/>
                <w:sz w:val="22"/>
              </w:rPr>
            </w:pPr>
            <w:r w:rsidRPr="0063388D">
              <w:rPr>
                <w:color w:val="000000"/>
                <w:sz w:val="22"/>
              </w:rPr>
              <w:t>43,303</w:t>
            </w:r>
          </w:p>
        </w:tc>
        <w:tc>
          <w:tcPr>
            <w:tcW w:w="834" w:type="pct"/>
            <w:tcBorders>
              <w:top w:val="nil"/>
              <w:left w:val="single" w:sz="4" w:space="0" w:color="auto"/>
              <w:bottom w:val="single" w:sz="4" w:space="0" w:color="auto"/>
              <w:right w:val="single" w:sz="4" w:space="0" w:color="auto"/>
            </w:tcBorders>
            <w:shd w:val="clear" w:color="auto" w:fill="auto"/>
            <w:noWrap/>
            <w:vAlign w:val="center"/>
          </w:tcPr>
          <w:p w14:paraId="5BE6E353" w14:textId="7045E016" w:rsidR="0063388D" w:rsidRPr="00CB28A8" w:rsidRDefault="0063388D" w:rsidP="0063388D">
            <w:pPr>
              <w:jc w:val="center"/>
              <w:rPr>
                <w:color w:val="000000"/>
                <w:sz w:val="22"/>
              </w:rPr>
            </w:pPr>
            <w:r w:rsidRPr="00CB28A8">
              <w:rPr>
                <w:color w:val="000000"/>
                <w:sz w:val="22"/>
              </w:rPr>
              <w:t>43,000</w:t>
            </w:r>
          </w:p>
        </w:tc>
      </w:tr>
      <w:tr w:rsidR="0063388D" w:rsidRPr="0039677D" w14:paraId="3A30D85C" w14:textId="77777777" w:rsidTr="00CC4E83">
        <w:trPr>
          <w:trHeight w:val="288"/>
        </w:trPr>
        <w:tc>
          <w:tcPr>
            <w:tcW w:w="833" w:type="pct"/>
            <w:tcBorders>
              <w:top w:val="nil"/>
              <w:left w:val="single" w:sz="4" w:space="0" w:color="auto"/>
              <w:bottom w:val="single" w:sz="4" w:space="0" w:color="auto"/>
              <w:right w:val="single" w:sz="4" w:space="0" w:color="auto"/>
            </w:tcBorders>
            <w:shd w:val="clear" w:color="auto" w:fill="auto"/>
            <w:noWrap/>
            <w:vAlign w:val="center"/>
          </w:tcPr>
          <w:p w14:paraId="30A1703B" w14:textId="36F25E04" w:rsidR="0063388D" w:rsidRPr="00CB28A8" w:rsidRDefault="0063388D" w:rsidP="0063388D">
            <w:pPr>
              <w:jc w:val="center"/>
              <w:rPr>
                <w:sz w:val="22"/>
              </w:rPr>
            </w:pPr>
            <w:r w:rsidRPr="00CB28A8">
              <w:rPr>
                <w:color w:val="000000"/>
                <w:sz w:val="22"/>
              </w:rPr>
              <w:t>2013</w:t>
            </w:r>
          </w:p>
        </w:tc>
        <w:tc>
          <w:tcPr>
            <w:tcW w:w="833" w:type="pct"/>
            <w:tcBorders>
              <w:top w:val="nil"/>
              <w:left w:val="nil"/>
              <w:bottom w:val="single" w:sz="4" w:space="0" w:color="auto"/>
              <w:right w:val="single" w:sz="4" w:space="0" w:color="auto"/>
            </w:tcBorders>
            <w:shd w:val="clear" w:color="auto" w:fill="auto"/>
            <w:noWrap/>
            <w:vAlign w:val="center"/>
          </w:tcPr>
          <w:p w14:paraId="3C5B4553" w14:textId="4CE524C9" w:rsidR="0063388D" w:rsidRPr="001E15C4" w:rsidRDefault="0063388D" w:rsidP="0063388D">
            <w:pPr>
              <w:jc w:val="center"/>
              <w:rPr>
                <w:color w:val="000000"/>
                <w:sz w:val="22"/>
              </w:rPr>
            </w:pPr>
            <w:r w:rsidRPr="001E15C4">
              <w:rPr>
                <w:color w:val="000000"/>
                <w:sz w:val="22"/>
              </w:rPr>
              <w:t>57,408</w:t>
            </w:r>
          </w:p>
        </w:tc>
        <w:tc>
          <w:tcPr>
            <w:tcW w:w="834" w:type="pct"/>
            <w:tcBorders>
              <w:top w:val="nil"/>
              <w:left w:val="nil"/>
              <w:bottom w:val="single" w:sz="4" w:space="0" w:color="auto"/>
              <w:right w:val="single" w:sz="4" w:space="0" w:color="auto"/>
            </w:tcBorders>
            <w:shd w:val="clear" w:color="auto" w:fill="auto"/>
            <w:noWrap/>
            <w:vAlign w:val="center"/>
          </w:tcPr>
          <w:p w14:paraId="147F5C58" w14:textId="0DC122BE" w:rsidR="0063388D" w:rsidRPr="001E15C4" w:rsidRDefault="0063388D" w:rsidP="0063388D">
            <w:pPr>
              <w:jc w:val="center"/>
              <w:rPr>
                <w:color w:val="000000"/>
                <w:sz w:val="22"/>
                <w:highlight w:val="yellow"/>
              </w:rPr>
            </w:pPr>
            <w:r w:rsidRPr="001E15C4">
              <w:rPr>
                <w:color w:val="000000"/>
                <w:sz w:val="22"/>
              </w:rPr>
              <w:t>5,449</w:t>
            </w:r>
          </w:p>
        </w:tc>
        <w:tc>
          <w:tcPr>
            <w:tcW w:w="833" w:type="pct"/>
            <w:tcBorders>
              <w:top w:val="single" w:sz="4" w:space="0" w:color="auto"/>
              <w:left w:val="single" w:sz="4" w:space="0" w:color="auto"/>
              <w:bottom w:val="single" w:sz="4" w:space="0" w:color="auto"/>
              <w:right w:val="single" w:sz="4" w:space="0" w:color="auto"/>
            </w:tcBorders>
            <w:vAlign w:val="center"/>
          </w:tcPr>
          <w:p w14:paraId="0E75F657" w14:textId="455E7FD5" w:rsidR="0063388D" w:rsidRPr="001E15C4" w:rsidRDefault="0063388D" w:rsidP="0063388D">
            <w:pPr>
              <w:jc w:val="center"/>
              <w:rPr>
                <w:color w:val="000000"/>
                <w:sz w:val="22"/>
              </w:rPr>
            </w:pPr>
            <w:r w:rsidRPr="001E15C4">
              <w:rPr>
                <w:color w:val="000000"/>
                <w:sz w:val="22"/>
              </w:rPr>
              <w:t>74,642</w:t>
            </w:r>
          </w:p>
        </w:tc>
        <w:tc>
          <w:tcPr>
            <w:tcW w:w="833" w:type="pct"/>
            <w:tcBorders>
              <w:top w:val="single" w:sz="4" w:space="0" w:color="auto"/>
              <w:left w:val="single" w:sz="4" w:space="0" w:color="auto"/>
              <w:bottom w:val="single" w:sz="4" w:space="0" w:color="auto"/>
              <w:right w:val="single" w:sz="4" w:space="0" w:color="auto"/>
            </w:tcBorders>
            <w:vAlign w:val="center"/>
          </w:tcPr>
          <w:p w14:paraId="5E781649" w14:textId="11BE78EF" w:rsidR="0063388D" w:rsidRPr="0063388D" w:rsidRDefault="0063388D" w:rsidP="0063388D">
            <w:pPr>
              <w:jc w:val="center"/>
              <w:rPr>
                <w:color w:val="000000"/>
                <w:sz w:val="22"/>
              </w:rPr>
            </w:pPr>
            <w:r w:rsidRPr="0063388D">
              <w:rPr>
                <w:color w:val="000000"/>
                <w:sz w:val="22"/>
              </w:rPr>
              <w:t>56,025</w:t>
            </w:r>
          </w:p>
        </w:tc>
        <w:tc>
          <w:tcPr>
            <w:tcW w:w="834" w:type="pct"/>
            <w:tcBorders>
              <w:top w:val="nil"/>
              <w:left w:val="single" w:sz="4" w:space="0" w:color="auto"/>
              <w:bottom w:val="single" w:sz="4" w:space="0" w:color="auto"/>
              <w:right w:val="single" w:sz="4" w:space="0" w:color="auto"/>
            </w:tcBorders>
            <w:shd w:val="clear" w:color="auto" w:fill="auto"/>
            <w:noWrap/>
            <w:vAlign w:val="center"/>
          </w:tcPr>
          <w:p w14:paraId="3FFBCE94" w14:textId="34254771" w:rsidR="0063388D" w:rsidRPr="00CB28A8" w:rsidRDefault="0063388D" w:rsidP="0063388D">
            <w:pPr>
              <w:jc w:val="center"/>
              <w:rPr>
                <w:color w:val="000000"/>
                <w:sz w:val="22"/>
              </w:rPr>
            </w:pPr>
            <w:r w:rsidRPr="00CB28A8">
              <w:rPr>
                <w:color w:val="000000"/>
                <w:sz w:val="22"/>
              </w:rPr>
              <w:t>28,900</w:t>
            </w:r>
          </w:p>
        </w:tc>
      </w:tr>
      <w:tr w:rsidR="0063388D" w:rsidRPr="0039677D" w14:paraId="30A357F7" w14:textId="77777777" w:rsidTr="00CC4E83">
        <w:trPr>
          <w:trHeight w:val="288"/>
        </w:trPr>
        <w:tc>
          <w:tcPr>
            <w:tcW w:w="833" w:type="pct"/>
            <w:tcBorders>
              <w:top w:val="nil"/>
              <w:left w:val="single" w:sz="4" w:space="0" w:color="auto"/>
              <w:bottom w:val="single" w:sz="4" w:space="0" w:color="auto"/>
              <w:right w:val="single" w:sz="4" w:space="0" w:color="auto"/>
            </w:tcBorders>
            <w:shd w:val="clear" w:color="auto" w:fill="auto"/>
            <w:noWrap/>
            <w:vAlign w:val="center"/>
          </w:tcPr>
          <w:p w14:paraId="7EE91E08" w14:textId="5026E616" w:rsidR="0063388D" w:rsidRPr="00CB28A8" w:rsidRDefault="0063388D" w:rsidP="0063388D">
            <w:pPr>
              <w:jc w:val="center"/>
              <w:rPr>
                <w:sz w:val="22"/>
              </w:rPr>
            </w:pPr>
            <w:r w:rsidRPr="00CB28A8">
              <w:rPr>
                <w:color w:val="000000"/>
                <w:sz w:val="22"/>
              </w:rPr>
              <w:t>2014</w:t>
            </w:r>
          </w:p>
        </w:tc>
        <w:tc>
          <w:tcPr>
            <w:tcW w:w="833" w:type="pct"/>
            <w:tcBorders>
              <w:top w:val="nil"/>
              <w:left w:val="nil"/>
              <w:bottom w:val="single" w:sz="4" w:space="0" w:color="auto"/>
              <w:right w:val="single" w:sz="4" w:space="0" w:color="auto"/>
            </w:tcBorders>
            <w:shd w:val="clear" w:color="auto" w:fill="auto"/>
            <w:noWrap/>
            <w:vAlign w:val="center"/>
          </w:tcPr>
          <w:p w14:paraId="5032063A" w14:textId="555AD9AE" w:rsidR="0063388D" w:rsidRPr="001E15C4" w:rsidRDefault="0063388D" w:rsidP="0063388D">
            <w:pPr>
              <w:jc w:val="center"/>
              <w:rPr>
                <w:color w:val="000000"/>
                <w:sz w:val="22"/>
              </w:rPr>
            </w:pPr>
            <w:r w:rsidRPr="001E15C4">
              <w:rPr>
                <w:color w:val="000000"/>
                <w:sz w:val="22"/>
              </w:rPr>
              <w:t>82,662</w:t>
            </w:r>
          </w:p>
        </w:tc>
        <w:tc>
          <w:tcPr>
            <w:tcW w:w="834" w:type="pct"/>
            <w:tcBorders>
              <w:top w:val="nil"/>
              <w:left w:val="nil"/>
              <w:bottom w:val="single" w:sz="4" w:space="0" w:color="auto"/>
              <w:right w:val="single" w:sz="4" w:space="0" w:color="auto"/>
            </w:tcBorders>
            <w:shd w:val="clear" w:color="auto" w:fill="auto"/>
            <w:noWrap/>
            <w:vAlign w:val="center"/>
          </w:tcPr>
          <w:p w14:paraId="2A25B983" w14:textId="195DD71C" w:rsidR="0063388D" w:rsidRPr="001E15C4" w:rsidRDefault="0063388D" w:rsidP="0063388D">
            <w:pPr>
              <w:jc w:val="center"/>
              <w:rPr>
                <w:color w:val="000000"/>
                <w:sz w:val="22"/>
                <w:highlight w:val="yellow"/>
              </w:rPr>
            </w:pPr>
            <w:r w:rsidRPr="001E15C4">
              <w:rPr>
                <w:color w:val="000000"/>
                <w:sz w:val="22"/>
              </w:rPr>
              <w:t>6,417</w:t>
            </w:r>
          </w:p>
        </w:tc>
        <w:tc>
          <w:tcPr>
            <w:tcW w:w="833" w:type="pct"/>
            <w:tcBorders>
              <w:top w:val="single" w:sz="4" w:space="0" w:color="auto"/>
              <w:left w:val="single" w:sz="4" w:space="0" w:color="auto"/>
              <w:bottom w:val="single" w:sz="4" w:space="0" w:color="auto"/>
              <w:right w:val="single" w:sz="4" w:space="0" w:color="auto"/>
            </w:tcBorders>
            <w:vAlign w:val="center"/>
          </w:tcPr>
          <w:p w14:paraId="3C010FF1" w14:textId="4011FA0E" w:rsidR="0063388D" w:rsidRPr="001E15C4" w:rsidRDefault="0063388D" w:rsidP="0063388D">
            <w:pPr>
              <w:jc w:val="center"/>
              <w:rPr>
                <w:color w:val="000000"/>
                <w:sz w:val="22"/>
              </w:rPr>
            </w:pPr>
            <w:r w:rsidRPr="001E15C4">
              <w:rPr>
                <w:color w:val="000000"/>
                <w:sz w:val="22"/>
              </w:rPr>
              <w:t>45,818</w:t>
            </w:r>
          </w:p>
        </w:tc>
        <w:tc>
          <w:tcPr>
            <w:tcW w:w="833" w:type="pct"/>
            <w:tcBorders>
              <w:top w:val="single" w:sz="4" w:space="0" w:color="auto"/>
              <w:left w:val="single" w:sz="4" w:space="0" w:color="auto"/>
              <w:bottom w:val="single" w:sz="4" w:space="0" w:color="auto"/>
              <w:right w:val="single" w:sz="4" w:space="0" w:color="auto"/>
            </w:tcBorders>
            <w:vAlign w:val="center"/>
          </w:tcPr>
          <w:p w14:paraId="0FCD61C7" w14:textId="53321614" w:rsidR="0063388D" w:rsidRPr="0063388D" w:rsidRDefault="0063388D" w:rsidP="0063388D">
            <w:pPr>
              <w:jc w:val="center"/>
              <w:rPr>
                <w:color w:val="000000"/>
                <w:sz w:val="22"/>
              </w:rPr>
            </w:pPr>
            <w:r w:rsidRPr="0063388D">
              <w:rPr>
                <w:color w:val="000000"/>
                <w:sz w:val="22"/>
              </w:rPr>
              <w:t>37,634</w:t>
            </w:r>
          </w:p>
        </w:tc>
        <w:tc>
          <w:tcPr>
            <w:tcW w:w="834" w:type="pct"/>
            <w:tcBorders>
              <w:top w:val="nil"/>
              <w:left w:val="single" w:sz="4" w:space="0" w:color="auto"/>
              <w:bottom w:val="single" w:sz="4" w:space="0" w:color="auto"/>
              <w:right w:val="single" w:sz="4" w:space="0" w:color="auto"/>
            </w:tcBorders>
            <w:shd w:val="clear" w:color="auto" w:fill="auto"/>
            <w:noWrap/>
            <w:vAlign w:val="center"/>
          </w:tcPr>
          <w:p w14:paraId="552CBEDF" w14:textId="12BE84F6" w:rsidR="0063388D" w:rsidRPr="00CB28A8" w:rsidRDefault="0063388D" w:rsidP="0063388D">
            <w:pPr>
              <w:jc w:val="center"/>
              <w:rPr>
                <w:color w:val="000000"/>
                <w:sz w:val="22"/>
              </w:rPr>
            </w:pPr>
            <w:r w:rsidRPr="00CB28A8">
              <w:rPr>
                <w:color w:val="000000"/>
                <w:sz w:val="22"/>
              </w:rPr>
              <w:t>37,600</w:t>
            </w:r>
          </w:p>
        </w:tc>
      </w:tr>
      <w:tr w:rsidR="0063388D" w:rsidRPr="0039677D" w14:paraId="5F2FDE25" w14:textId="77777777" w:rsidTr="00CC4E83">
        <w:trPr>
          <w:trHeight w:val="288"/>
        </w:trPr>
        <w:tc>
          <w:tcPr>
            <w:tcW w:w="833" w:type="pct"/>
            <w:tcBorders>
              <w:top w:val="nil"/>
              <w:left w:val="single" w:sz="4" w:space="0" w:color="auto"/>
              <w:bottom w:val="single" w:sz="4" w:space="0" w:color="auto"/>
              <w:right w:val="single" w:sz="4" w:space="0" w:color="auto"/>
            </w:tcBorders>
            <w:shd w:val="clear" w:color="auto" w:fill="auto"/>
            <w:noWrap/>
            <w:vAlign w:val="center"/>
            <w:hideMark/>
          </w:tcPr>
          <w:p w14:paraId="0572683D" w14:textId="34A90C58" w:rsidR="0063388D" w:rsidRPr="00CB28A8" w:rsidRDefault="0063388D" w:rsidP="0063388D">
            <w:pPr>
              <w:jc w:val="center"/>
              <w:rPr>
                <w:sz w:val="22"/>
              </w:rPr>
            </w:pPr>
            <w:r w:rsidRPr="00CB28A8">
              <w:rPr>
                <w:color w:val="000000"/>
                <w:sz w:val="22"/>
              </w:rPr>
              <w:t>2015</w:t>
            </w:r>
          </w:p>
        </w:tc>
        <w:tc>
          <w:tcPr>
            <w:tcW w:w="833" w:type="pct"/>
            <w:tcBorders>
              <w:top w:val="nil"/>
              <w:left w:val="nil"/>
              <w:bottom w:val="single" w:sz="4" w:space="0" w:color="auto"/>
              <w:right w:val="single" w:sz="4" w:space="0" w:color="auto"/>
            </w:tcBorders>
            <w:shd w:val="clear" w:color="auto" w:fill="auto"/>
            <w:noWrap/>
            <w:vAlign w:val="center"/>
          </w:tcPr>
          <w:p w14:paraId="1115A6E8" w14:textId="0CB2BD5C" w:rsidR="0063388D" w:rsidRPr="001E15C4" w:rsidRDefault="0063388D" w:rsidP="0063388D">
            <w:pPr>
              <w:jc w:val="center"/>
              <w:rPr>
                <w:color w:val="000000"/>
                <w:sz w:val="22"/>
              </w:rPr>
            </w:pPr>
            <w:r w:rsidRPr="001E15C4">
              <w:rPr>
                <w:color w:val="000000"/>
                <w:sz w:val="22"/>
              </w:rPr>
              <w:t>87,979</w:t>
            </w:r>
          </w:p>
        </w:tc>
        <w:tc>
          <w:tcPr>
            <w:tcW w:w="834" w:type="pct"/>
            <w:tcBorders>
              <w:top w:val="nil"/>
              <w:left w:val="nil"/>
              <w:bottom w:val="single" w:sz="4" w:space="0" w:color="auto"/>
              <w:right w:val="single" w:sz="4" w:space="0" w:color="auto"/>
            </w:tcBorders>
            <w:shd w:val="clear" w:color="auto" w:fill="auto"/>
            <w:noWrap/>
            <w:vAlign w:val="center"/>
          </w:tcPr>
          <w:p w14:paraId="06B0D559" w14:textId="401736D5" w:rsidR="0063388D" w:rsidRPr="001E15C4" w:rsidRDefault="0063388D" w:rsidP="0063388D">
            <w:pPr>
              <w:jc w:val="center"/>
              <w:rPr>
                <w:color w:val="000000"/>
                <w:sz w:val="22"/>
                <w:highlight w:val="yellow"/>
              </w:rPr>
            </w:pPr>
            <w:r w:rsidRPr="001E15C4">
              <w:rPr>
                <w:color w:val="000000"/>
                <w:sz w:val="22"/>
              </w:rPr>
              <w:t>9,296</w:t>
            </w:r>
          </w:p>
        </w:tc>
        <w:tc>
          <w:tcPr>
            <w:tcW w:w="833" w:type="pct"/>
            <w:tcBorders>
              <w:top w:val="single" w:sz="4" w:space="0" w:color="auto"/>
              <w:left w:val="single" w:sz="4" w:space="0" w:color="auto"/>
              <w:bottom w:val="single" w:sz="4" w:space="0" w:color="auto"/>
              <w:right w:val="single" w:sz="4" w:space="0" w:color="auto"/>
            </w:tcBorders>
            <w:vAlign w:val="center"/>
          </w:tcPr>
          <w:p w14:paraId="07941575" w14:textId="559F5CFF" w:rsidR="0063388D" w:rsidRPr="001E15C4" w:rsidRDefault="0063388D" w:rsidP="0063388D">
            <w:pPr>
              <w:jc w:val="center"/>
              <w:rPr>
                <w:color w:val="000000"/>
                <w:sz w:val="22"/>
              </w:rPr>
            </w:pPr>
            <w:r w:rsidRPr="001E15C4">
              <w:rPr>
                <w:color w:val="000000"/>
                <w:sz w:val="22"/>
              </w:rPr>
              <w:t>51,459</w:t>
            </w:r>
          </w:p>
        </w:tc>
        <w:tc>
          <w:tcPr>
            <w:tcW w:w="833" w:type="pct"/>
            <w:tcBorders>
              <w:top w:val="single" w:sz="4" w:space="0" w:color="auto"/>
              <w:left w:val="single" w:sz="4" w:space="0" w:color="auto"/>
              <w:bottom w:val="single" w:sz="4" w:space="0" w:color="auto"/>
              <w:right w:val="single" w:sz="4" w:space="0" w:color="auto"/>
            </w:tcBorders>
            <w:vAlign w:val="center"/>
          </w:tcPr>
          <w:p w14:paraId="5707D290" w14:textId="4385F261" w:rsidR="0063388D" w:rsidRPr="0063388D" w:rsidRDefault="0063388D" w:rsidP="0063388D">
            <w:pPr>
              <w:jc w:val="center"/>
              <w:rPr>
                <w:color w:val="000000"/>
                <w:sz w:val="22"/>
              </w:rPr>
            </w:pPr>
            <w:r w:rsidRPr="0063388D">
              <w:rPr>
                <w:color w:val="000000"/>
                <w:sz w:val="22"/>
              </w:rPr>
              <w:t>43,452</w:t>
            </w:r>
          </w:p>
        </w:tc>
        <w:tc>
          <w:tcPr>
            <w:tcW w:w="834" w:type="pct"/>
            <w:tcBorders>
              <w:top w:val="nil"/>
              <w:left w:val="single" w:sz="4" w:space="0" w:color="auto"/>
              <w:bottom w:val="single" w:sz="4" w:space="0" w:color="auto"/>
              <w:right w:val="single" w:sz="4" w:space="0" w:color="auto"/>
            </w:tcBorders>
            <w:shd w:val="clear" w:color="auto" w:fill="auto"/>
            <w:noWrap/>
            <w:vAlign w:val="center"/>
          </w:tcPr>
          <w:p w14:paraId="6225CCD4" w14:textId="6DBE6FD6" w:rsidR="0063388D" w:rsidRPr="00CB28A8" w:rsidRDefault="0063388D" w:rsidP="0063388D">
            <w:pPr>
              <w:jc w:val="center"/>
              <w:rPr>
                <w:color w:val="000000"/>
                <w:sz w:val="22"/>
              </w:rPr>
            </w:pPr>
            <w:r w:rsidRPr="00CB28A8">
              <w:rPr>
                <w:color w:val="000000"/>
                <w:sz w:val="22"/>
              </w:rPr>
              <w:t>42,600</w:t>
            </w:r>
          </w:p>
        </w:tc>
      </w:tr>
      <w:tr w:rsidR="0063388D" w:rsidRPr="0039677D" w14:paraId="5EC5DAEE" w14:textId="77777777" w:rsidTr="00CC4E83">
        <w:trPr>
          <w:trHeight w:val="288"/>
        </w:trPr>
        <w:tc>
          <w:tcPr>
            <w:tcW w:w="833" w:type="pct"/>
            <w:tcBorders>
              <w:top w:val="nil"/>
              <w:left w:val="single" w:sz="4" w:space="0" w:color="auto"/>
              <w:bottom w:val="single" w:sz="4" w:space="0" w:color="auto"/>
              <w:right w:val="single" w:sz="4" w:space="0" w:color="auto"/>
            </w:tcBorders>
            <w:shd w:val="clear" w:color="auto" w:fill="auto"/>
            <w:noWrap/>
            <w:vAlign w:val="center"/>
            <w:hideMark/>
          </w:tcPr>
          <w:p w14:paraId="4A6A1851" w14:textId="3DB113B2" w:rsidR="0063388D" w:rsidRPr="00CB28A8" w:rsidRDefault="0063388D" w:rsidP="0063388D">
            <w:pPr>
              <w:jc w:val="center"/>
              <w:rPr>
                <w:sz w:val="22"/>
              </w:rPr>
            </w:pPr>
            <w:r w:rsidRPr="00CB28A8">
              <w:rPr>
                <w:color w:val="000000"/>
                <w:sz w:val="22"/>
              </w:rPr>
              <w:t>2016</w:t>
            </w:r>
          </w:p>
        </w:tc>
        <w:tc>
          <w:tcPr>
            <w:tcW w:w="833" w:type="pct"/>
            <w:tcBorders>
              <w:top w:val="nil"/>
              <w:left w:val="nil"/>
              <w:bottom w:val="single" w:sz="4" w:space="0" w:color="auto"/>
              <w:right w:val="single" w:sz="4" w:space="0" w:color="auto"/>
            </w:tcBorders>
            <w:shd w:val="clear" w:color="auto" w:fill="auto"/>
            <w:noWrap/>
            <w:vAlign w:val="center"/>
          </w:tcPr>
          <w:p w14:paraId="6333C453" w14:textId="5DBF97C0" w:rsidR="0063388D" w:rsidRPr="001E15C4" w:rsidRDefault="0063388D" w:rsidP="0063388D">
            <w:pPr>
              <w:jc w:val="center"/>
              <w:rPr>
                <w:color w:val="000000"/>
                <w:sz w:val="22"/>
              </w:rPr>
            </w:pPr>
            <w:r w:rsidRPr="001E15C4">
              <w:rPr>
                <w:color w:val="000000"/>
                <w:sz w:val="22"/>
              </w:rPr>
              <w:t>87,124</w:t>
            </w:r>
          </w:p>
        </w:tc>
        <w:tc>
          <w:tcPr>
            <w:tcW w:w="834" w:type="pct"/>
            <w:tcBorders>
              <w:top w:val="nil"/>
              <w:left w:val="nil"/>
              <w:bottom w:val="single" w:sz="4" w:space="0" w:color="auto"/>
              <w:right w:val="single" w:sz="4" w:space="0" w:color="auto"/>
            </w:tcBorders>
            <w:shd w:val="clear" w:color="auto" w:fill="auto"/>
            <w:noWrap/>
            <w:vAlign w:val="center"/>
          </w:tcPr>
          <w:p w14:paraId="53FF8961" w14:textId="1A2D76EC" w:rsidR="0063388D" w:rsidRPr="001E15C4" w:rsidRDefault="0063388D" w:rsidP="0063388D">
            <w:pPr>
              <w:jc w:val="center"/>
              <w:rPr>
                <w:color w:val="000000"/>
                <w:sz w:val="22"/>
              </w:rPr>
            </w:pPr>
            <w:r w:rsidRPr="001E15C4">
              <w:rPr>
                <w:color w:val="000000"/>
                <w:sz w:val="22"/>
              </w:rPr>
              <w:t>43,640</w:t>
            </w:r>
          </w:p>
        </w:tc>
        <w:tc>
          <w:tcPr>
            <w:tcW w:w="833" w:type="pct"/>
            <w:tcBorders>
              <w:top w:val="single" w:sz="4" w:space="0" w:color="auto"/>
              <w:left w:val="single" w:sz="4" w:space="0" w:color="auto"/>
              <w:bottom w:val="single" w:sz="4" w:space="0" w:color="auto"/>
              <w:right w:val="single" w:sz="4" w:space="0" w:color="auto"/>
            </w:tcBorders>
            <w:vAlign w:val="center"/>
          </w:tcPr>
          <w:p w14:paraId="59C3DEAF" w14:textId="5D37EADD" w:rsidR="0063388D" w:rsidRPr="001E15C4" w:rsidRDefault="0063388D" w:rsidP="0063388D">
            <w:pPr>
              <w:jc w:val="center"/>
              <w:rPr>
                <w:color w:val="000000"/>
                <w:sz w:val="22"/>
              </w:rPr>
            </w:pPr>
            <w:r w:rsidRPr="001E15C4">
              <w:rPr>
                <w:color w:val="000000"/>
                <w:sz w:val="22"/>
              </w:rPr>
              <w:t>23,288</w:t>
            </w:r>
          </w:p>
        </w:tc>
        <w:tc>
          <w:tcPr>
            <w:tcW w:w="833" w:type="pct"/>
            <w:tcBorders>
              <w:top w:val="single" w:sz="4" w:space="0" w:color="auto"/>
              <w:left w:val="single" w:sz="4" w:space="0" w:color="auto"/>
              <w:bottom w:val="single" w:sz="4" w:space="0" w:color="auto"/>
              <w:right w:val="single" w:sz="4" w:space="0" w:color="auto"/>
            </w:tcBorders>
            <w:vAlign w:val="center"/>
          </w:tcPr>
          <w:p w14:paraId="4A42C062" w14:textId="04B04969" w:rsidR="0063388D" w:rsidRPr="0063388D" w:rsidRDefault="0063388D" w:rsidP="0063388D">
            <w:pPr>
              <w:jc w:val="center"/>
              <w:rPr>
                <w:color w:val="000000"/>
                <w:sz w:val="22"/>
              </w:rPr>
            </w:pPr>
            <w:r w:rsidRPr="0063388D">
              <w:rPr>
                <w:color w:val="000000"/>
                <w:sz w:val="22"/>
              </w:rPr>
              <w:t>18,288</w:t>
            </w:r>
          </w:p>
        </w:tc>
        <w:tc>
          <w:tcPr>
            <w:tcW w:w="834" w:type="pct"/>
            <w:tcBorders>
              <w:top w:val="nil"/>
              <w:left w:val="single" w:sz="4" w:space="0" w:color="auto"/>
              <w:bottom w:val="single" w:sz="4" w:space="0" w:color="auto"/>
              <w:right w:val="single" w:sz="4" w:space="0" w:color="auto"/>
            </w:tcBorders>
            <w:shd w:val="clear" w:color="auto" w:fill="auto"/>
            <w:noWrap/>
            <w:vAlign w:val="center"/>
          </w:tcPr>
          <w:p w14:paraId="7DDB3D26" w14:textId="6ED38D1C" w:rsidR="0063388D" w:rsidRPr="00CB28A8" w:rsidRDefault="0063388D" w:rsidP="0063388D">
            <w:pPr>
              <w:jc w:val="center"/>
              <w:rPr>
                <w:color w:val="000000"/>
                <w:sz w:val="22"/>
              </w:rPr>
            </w:pPr>
            <w:r w:rsidRPr="00CB28A8">
              <w:rPr>
                <w:color w:val="000000"/>
                <w:sz w:val="22"/>
              </w:rPr>
              <w:t>15,700</w:t>
            </w:r>
          </w:p>
        </w:tc>
      </w:tr>
      <w:tr w:rsidR="0063388D" w:rsidRPr="0039677D" w14:paraId="58B7A4BB" w14:textId="77777777" w:rsidTr="00CC4E83">
        <w:trPr>
          <w:trHeight w:val="288"/>
        </w:trPr>
        <w:tc>
          <w:tcPr>
            <w:tcW w:w="833" w:type="pct"/>
            <w:tcBorders>
              <w:top w:val="nil"/>
              <w:left w:val="single" w:sz="4" w:space="0" w:color="auto"/>
              <w:bottom w:val="single" w:sz="4" w:space="0" w:color="auto"/>
              <w:right w:val="single" w:sz="4" w:space="0" w:color="auto"/>
            </w:tcBorders>
            <w:shd w:val="clear" w:color="auto" w:fill="auto"/>
            <w:noWrap/>
            <w:vAlign w:val="center"/>
            <w:hideMark/>
          </w:tcPr>
          <w:p w14:paraId="676CCDAD" w14:textId="6301DEBE" w:rsidR="0063388D" w:rsidRPr="00CB28A8" w:rsidRDefault="0063388D" w:rsidP="0063388D">
            <w:pPr>
              <w:jc w:val="center"/>
              <w:rPr>
                <w:sz w:val="22"/>
              </w:rPr>
            </w:pPr>
            <w:r w:rsidRPr="00CB28A8">
              <w:rPr>
                <w:color w:val="000000"/>
                <w:sz w:val="22"/>
              </w:rPr>
              <w:t>2017</w:t>
            </w:r>
          </w:p>
        </w:tc>
        <w:tc>
          <w:tcPr>
            <w:tcW w:w="833" w:type="pct"/>
            <w:tcBorders>
              <w:top w:val="nil"/>
              <w:left w:val="nil"/>
              <w:bottom w:val="single" w:sz="4" w:space="0" w:color="auto"/>
              <w:right w:val="single" w:sz="4" w:space="0" w:color="auto"/>
            </w:tcBorders>
            <w:shd w:val="clear" w:color="auto" w:fill="auto"/>
            <w:noWrap/>
            <w:vAlign w:val="center"/>
          </w:tcPr>
          <w:p w14:paraId="541B514B" w14:textId="453A03CA" w:rsidR="0063388D" w:rsidRPr="001E15C4" w:rsidRDefault="0063388D" w:rsidP="0063388D">
            <w:pPr>
              <w:jc w:val="center"/>
              <w:rPr>
                <w:color w:val="000000"/>
                <w:sz w:val="22"/>
              </w:rPr>
            </w:pPr>
            <w:r w:rsidRPr="001E15C4">
              <w:rPr>
                <w:color w:val="000000"/>
                <w:sz w:val="22"/>
              </w:rPr>
              <w:t>95,186</w:t>
            </w:r>
          </w:p>
        </w:tc>
        <w:tc>
          <w:tcPr>
            <w:tcW w:w="834" w:type="pct"/>
            <w:tcBorders>
              <w:top w:val="nil"/>
              <w:left w:val="nil"/>
              <w:bottom w:val="single" w:sz="4" w:space="0" w:color="auto"/>
              <w:right w:val="single" w:sz="4" w:space="0" w:color="auto"/>
            </w:tcBorders>
            <w:shd w:val="clear" w:color="auto" w:fill="auto"/>
            <w:noWrap/>
            <w:vAlign w:val="center"/>
          </w:tcPr>
          <w:p w14:paraId="370A9638" w14:textId="5DB03E9D" w:rsidR="0063388D" w:rsidRPr="001E15C4" w:rsidRDefault="0063388D" w:rsidP="0063388D">
            <w:pPr>
              <w:jc w:val="center"/>
              <w:rPr>
                <w:color w:val="000000"/>
                <w:sz w:val="22"/>
              </w:rPr>
            </w:pPr>
            <w:r w:rsidRPr="001E15C4">
              <w:rPr>
                <w:color w:val="000000"/>
                <w:sz w:val="22"/>
              </w:rPr>
              <w:t>7,566</w:t>
            </w:r>
          </w:p>
        </w:tc>
        <w:tc>
          <w:tcPr>
            <w:tcW w:w="833" w:type="pct"/>
            <w:tcBorders>
              <w:top w:val="single" w:sz="4" w:space="0" w:color="auto"/>
              <w:left w:val="single" w:sz="4" w:space="0" w:color="auto"/>
              <w:bottom w:val="single" w:sz="4" w:space="0" w:color="auto"/>
              <w:right w:val="single" w:sz="4" w:space="0" w:color="auto"/>
            </w:tcBorders>
            <w:vAlign w:val="center"/>
          </w:tcPr>
          <w:p w14:paraId="099499B1" w14:textId="4D5EEBE5" w:rsidR="0063388D" w:rsidRPr="001E15C4" w:rsidRDefault="0063388D" w:rsidP="0063388D">
            <w:pPr>
              <w:jc w:val="center"/>
              <w:rPr>
                <w:color w:val="000000"/>
                <w:sz w:val="22"/>
              </w:rPr>
            </w:pPr>
            <w:r w:rsidRPr="001E15C4">
              <w:rPr>
                <w:color w:val="000000"/>
                <w:sz w:val="22"/>
              </w:rPr>
              <w:t>142,336</w:t>
            </w:r>
          </w:p>
        </w:tc>
        <w:tc>
          <w:tcPr>
            <w:tcW w:w="833" w:type="pct"/>
            <w:tcBorders>
              <w:top w:val="single" w:sz="4" w:space="0" w:color="auto"/>
              <w:left w:val="single" w:sz="4" w:space="0" w:color="auto"/>
              <w:bottom w:val="single" w:sz="4" w:space="0" w:color="auto"/>
              <w:right w:val="single" w:sz="4" w:space="0" w:color="auto"/>
            </w:tcBorders>
            <w:vAlign w:val="center"/>
          </w:tcPr>
          <w:p w14:paraId="24D8D11A" w14:textId="79FCF045" w:rsidR="0063388D" w:rsidRPr="0063388D" w:rsidRDefault="0063388D" w:rsidP="0063388D">
            <w:pPr>
              <w:jc w:val="center"/>
              <w:rPr>
                <w:color w:val="000000"/>
                <w:sz w:val="22"/>
              </w:rPr>
            </w:pPr>
            <w:r w:rsidRPr="0063388D">
              <w:rPr>
                <w:color w:val="000000"/>
                <w:sz w:val="22"/>
              </w:rPr>
              <w:t>118,175</w:t>
            </w:r>
          </w:p>
        </w:tc>
        <w:tc>
          <w:tcPr>
            <w:tcW w:w="834" w:type="pct"/>
            <w:tcBorders>
              <w:top w:val="nil"/>
              <w:left w:val="single" w:sz="4" w:space="0" w:color="auto"/>
              <w:bottom w:val="single" w:sz="4" w:space="0" w:color="auto"/>
              <w:right w:val="single" w:sz="4" w:space="0" w:color="auto"/>
            </w:tcBorders>
            <w:shd w:val="clear" w:color="auto" w:fill="auto"/>
            <w:noWrap/>
            <w:vAlign w:val="center"/>
          </w:tcPr>
          <w:p w14:paraId="2CDA95F5" w14:textId="393AD3E1" w:rsidR="0063388D" w:rsidRPr="00CB28A8" w:rsidRDefault="0063388D" w:rsidP="0063388D">
            <w:pPr>
              <w:jc w:val="center"/>
              <w:rPr>
                <w:color w:val="000000"/>
                <w:sz w:val="22"/>
              </w:rPr>
            </w:pPr>
            <w:r w:rsidRPr="00CB28A8">
              <w:rPr>
                <w:color w:val="000000"/>
                <w:sz w:val="22"/>
              </w:rPr>
              <w:t>90,100</w:t>
            </w:r>
          </w:p>
        </w:tc>
      </w:tr>
      <w:tr w:rsidR="0063388D" w:rsidRPr="0039677D" w14:paraId="23260FAC" w14:textId="77777777" w:rsidTr="00CC4E83">
        <w:trPr>
          <w:trHeight w:val="288"/>
        </w:trPr>
        <w:tc>
          <w:tcPr>
            <w:tcW w:w="833" w:type="pct"/>
            <w:tcBorders>
              <w:top w:val="nil"/>
              <w:left w:val="single" w:sz="4" w:space="0" w:color="auto"/>
              <w:bottom w:val="single" w:sz="4" w:space="0" w:color="auto"/>
              <w:right w:val="single" w:sz="4" w:space="0" w:color="auto"/>
            </w:tcBorders>
            <w:shd w:val="clear" w:color="auto" w:fill="auto"/>
            <w:noWrap/>
            <w:vAlign w:val="center"/>
          </w:tcPr>
          <w:p w14:paraId="140D773E" w14:textId="2D17881F" w:rsidR="0063388D" w:rsidRPr="00CB28A8" w:rsidRDefault="0063388D" w:rsidP="0063388D">
            <w:pPr>
              <w:jc w:val="center"/>
              <w:rPr>
                <w:sz w:val="22"/>
              </w:rPr>
            </w:pPr>
            <w:r w:rsidRPr="00CB28A8">
              <w:rPr>
                <w:color w:val="000000"/>
                <w:sz w:val="22"/>
              </w:rPr>
              <w:t>2018</w:t>
            </w:r>
          </w:p>
        </w:tc>
        <w:tc>
          <w:tcPr>
            <w:tcW w:w="833" w:type="pct"/>
            <w:tcBorders>
              <w:top w:val="nil"/>
              <w:left w:val="nil"/>
              <w:bottom w:val="single" w:sz="4" w:space="0" w:color="auto"/>
              <w:right w:val="single" w:sz="4" w:space="0" w:color="auto"/>
            </w:tcBorders>
            <w:shd w:val="clear" w:color="auto" w:fill="auto"/>
            <w:noWrap/>
            <w:vAlign w:val="center"/>
          </w:tcPr>
          <w:p w14:paraId="63A4345A" w14:textId="4D8C8862" w:rsidR="0063388D" w:rsidRPr="001E15C4" w:rsidRDefault="0063388D" w:rsidP="0063388D">
            <w:pPr>
              <w:jc w:val="center"/>
              <w:rPr>
                <w:sz w:val="22"/>
              </w:rPr>
            </w:pPr>
            <w:r w:rsidRPr="001E15C4">
              <w:rPr>
                <w:color w:val="000000"/>
                <w:sz w:val="22"/>
              </w:rPr>
              <w:t>84,989</w:t>
            </w:r>
          </w:p>
        </w:tc>
        <w:tc>
          <w:tcPr>
            <w:tcW w:w="834" w:type="pct"/>
            <w:tcBorders>
              <w:top w:val="nil"/>
              <w:left w:val="nil"/>
              <w:bottom w:val="single" w:sz="4" w:space="0" w:color="auto"/>
              <w:right w:val="single" w:sz="4" w:space="0" w:color="auto"/>
            </w:tcBorders>
            <w:shd w:val="clear" w:color="auto" w:fill="auto"/>
            <w:noWrap/>
            <w:vAlign w:val="center"/>
          </w:tcPr>
          <w:p w14:paraId="2D794EB1" w14:textId="2358E96D" w:rsidR="0063388D" w:rsidRPr="001E15C4" w:rsidRDefault="0063388D" w:rsidP="0063388D">
            <w:pPr>
              <w:jc w:val="center"/>
              <w:rPr>
                <w:sz w:val="22"/>
              </w:rPr>
            </w:pPr>
            <w:r w:rsidRPr="001E15C4">
              <w:rPr>
                <w:color w:val="000000"/>
                <w:sz w:val="22"/>
              </w:rPr>
              <w:t>5,956</w:t>
            </w:r>
          </w:p>
        </w:tc>
        <w:tc>
          <w:tcPr>
            <w:tcW w:w="833" w:type="pct"/>
            <w:tcBorders>
              <w:top w:val="single" w:sz="4" w:space="0" w:color="auto"/>
              <w:left w:val="single" w:sz="4" w:space="0" w:color="auto"/>
              <w:bottom w:val="single" w:sz="4" w:space="0" w:color="auto"/>
              <w:right w:val="single" w:sz="4" w:space="0" w:color="auto"/>
            </w:tcBorders>
            <w:vAlign w:val="center"/>
          </w:tcPr>
          <w:p w14:paraId="436EEC07" w14:textId="24FFBB90" w:rsidR="0063388D" w:rsidRPr="001E15C4" w:rsidRDefault="0063388D" w:rsidP="0063388D">
            <w:pPr>
              <w:jc w:val="center"/>
              <w:rPr>
                <w:sz w:val="22"/>
              </w:rPr>
            </w:pPr>
            <w:r w:rsidRPr="001E15C4">
              <w:rPr>
                <w:color w:val="000000"/>
                <w:sz w:val="22"/>
              </w:rPr>
              <w:t>89,332</w:t>
            </w:r>
          </w:p>
        </w:tc>
        <w:tc>
          <w:tcPr>
            <w:tcW w:w="833" w:type="pct"/>
            <w:tcBorders>
              <w:top w:val="single" w:sz="4" w:space="0" w:color="auto"/>
              <w:left w:val="single" w:sz="4" w:space="0" w:color="auto"/>
              <w:bottom w:val="single" w:sz="4" w:space="0" w:color="auto"/>
              <w:right w:val="single" w:sz="4" w:space="0" w:color="auto"/>
            </w:tcBorders>
            <w:vAlign w:val="center"/>
          </w:tcPr>
          <w:p w14:paraId="1161AED3" w14:textId="779A90EE" w:rsidR="0063388D" w:rsidRPr="0063388D" w:rsidRDefault="0063388D" w:rsidP="0063388D">
            <w:pPr>
              <w:jc w:val="center"/>
              <w:rPr>
                <w:sz w:val="22"/>
              </w:rPr>
            </w:pPr>
            <w:r w:rsidRPr="0063388D">
              <w:rPr>
                <w:color w:val="000000"/>
                <w:sz w:val="22"/>
              </w:rPr>
              <w:t>74,561</w:t>
            </w:r>
          </w:p>
        </w:tc>
        <w:tc>
          <w:tcPr>
            <w:tcW w:w="834" w:type="pct"/>
            <w:tcBorders>
              <w:top w:val="nil"/>
              <w:left w:val="single" w:sz="4" w:space="0" w:color="auto"/>
              <w:bottom w:val="single" w:sz="4" w:space="0" w:color="auto"/>
              <w:right w:val="single" w:sz="4" w:space="0" w:color="auto"/>
            </w:tcBorders>
            <w:shd w:val="clear" w:color="auto" w:fill="auto"/>
            <w:noWrap/>
            <w:vAlign w:val="center"/>
          </w:tcPr>
          <w:p w14:paraId="6B7C85CE" w14:textId="2BB92FBD" w:rsidR="0063388D" w:rsidRPr="00CB28A8" w:rsidRDefault="0063388D" w:rsidP="0063388D">
            <w:pPr>
              <w:jc w:val="center"/>
              <w:rPr>
                <w:sz w:val="22"/>
              </w:rPr>
            </w:pPr>
            <w:r w:rsidRPr="00CB28A8">
              <w:rPr>
                <w:color w:val="000000"/>
                <w:sz w:val="22"/>
              </w:rPr>
              <w:t>73,800</w:t>
            </w:r>
          </w:p>
        </w:tc>
      </w:tr>
      <w:tr w:rsidR="0063388D" w:rsidRPr="0039677D" w14:paraId="3F8E4EC6" w14:textId="77777777" w:rsidTr="00CC4E83">
        <w:trPr>
          <w:trHeight w:val="288"/>
        </w:trPr>
        <w:tc>
          <w:tcPr>
            <w:tcW w:w="833" w:type="pct"/>
            <w:tcBorders>
              <w:top w:val="nil"/>
              <w:left w:val="single" w:sz="4" w:space="0" w:color="auto"/>
              <w:bottom w:val="single" w:sz="4" w:space="0" w:color="auto"/>
              <w:right w:val="single" w:sz="4" w:space="0" w:color="auto"/>
            </w:tcBorders>
            <w:shd w:val="clear" w:color="auto" w:fill="auto"/>
            <w:noWrap/>
            <w:vAlign w:val="center"/>
          </w:tcPr>
          <w:p w14:paraId="01EF2767" w14:textId="7A6930CF" w:rsidR="0063388D" w:rsidRPr="00CB28A8" w:rsidRDefault="0063388D" w:rsidP="0063388D">
            <w:pPr>
              <w:jc w:val="center"/>
              <w:rPr>
                <w:sz w:val="22"/>
              </w:rPr>
            </w:pPr>
            <w:r w:rsidRPr="00CB28A8">
              <w:rPr>
                <w:color w:val="000000"/>
                <w:sz w:val="22"/>
              </w:rPr>
              <w:t>2019</w:t>
            </w:r>
          </w:p>
        </w:tc>
        <w:tc>
          <w:tcPr>
            <w:tcW w:w="833" w:type="pct"/>
            <w:tcBorders>
              <w:top w:val="nil"/>
              <w:left w:val="nil"/>
              <w:bottom w:val="single" w:sz="4" w:space="0" w:color="auto"/>
              <w:right w:val="single" w:sz="4" w:space="0" w:color="auto"/>
            </w:tcBorders>
            <w:shd w:val="clear" w:color="auto" w:fill="auto"/>
            <w:noWrap/>
            <w:vAlign w:val="center"/>
          </w:tcPr>
          <w:p w14:paraId="4EC7534A" w14:textId="01CB494D" w:rsidR="0063388D" w:rsidRPr="001E15C4" w:rsidRDefault="0063388D" w:rsidP="0063388D">
            <w:pPr>
              <w:jc w:val="center"/>
              <w:rPr>
                <w:sz w:val="22"/>
              </w:rPr>
            </w:pPr>
            <w:r w:rsidRPr="001E15C4">
              <w:rPr>
                <w:color w:val="000000"/>
                <w:sz w:val="22"/>
              </w:rPr>
              <w:t>99,831</w:t>
            </w:r>
          </w:p>
        </w:tc>
        <w:tc>
          <w:tcPr>
            <w:tcW w:w="834" w:type="pct"/>
            <w:tcBorders>
              <w:top w:val="nil"/>
              <w:left w:val="nil"/>
              <w:bottom w:val="single" w:sz="4" w:space="0" w:color="auto"/>
              <w:right w:val="single" w:sz="4" w:space="0" w:color="auto"/>
            </w:tcBorders>
            <w:shd w:val="clear" w:color="auto" w:fill="auto"/>
            <w:noWrap/>
            <w:vAlign w:val="center"/>
          </w:tcPr>
          <w:p w14:paraId="4FD3128E" w14:textId="6EC7B51C" w:rsidR="0063388D" w:rsidRPr="001E15C4" w:rsidRDefault="0063388D" w:rsidP="0063388D">
            <w:pPr>
              <w:jc w:val="center"/>
              <w:rPr>
                <w:sz w:val="22"/>
              </w:rPr>
            </w:pPr>
            <w:r w:rsidRPr="001E15C4">
              <w:rPr>
                <w:color w:val="000000"/>
                <w:sz w:val="22"/>
              </w:rPr>
              <w:t>9,746</w:t>
            </w:r>
          </w:p>
        </w:tc>
        <w:tc>
          <w:tcPr>
            <w:tcW w:w="833" w:type="pct"/>
            <w:tcBorders>
              <w:top w:val="single" w:sz="4" w:space="0" w:color="auto"/>
              <w:left w:val="single" w:sz="4" w:space="0" w:color="auto"/>
              <w:bottom w:val="single" w:sz="4" w:space="0" w:color="auto"/>
              <w:right w:val="single" w:sz="4" w:space="0" w:color="auto"/>
            </w:tcBorders>
            <w:vAlign w:val="center"/>
          </w:tcPr>
          <w:p w14:paraId="7594AFF7" w14:textId="7E7BDE78" w:rsidR="0063388D" w:rsidRPr="001E15C4" w:rsidRDefault="0063388D" w:rsidP="0063388D">
            <w:pPr>
              <w:jc w:val="center"/>
              <w:rPr>
                <w:sz w:val="22"/>
              </w:rPr>
            </w:pPr>
            <w:r w:rsidRPr="001E15C4">
              <w:rPr>
                <w:color w:val="000000"/>
                <w:sz w:val="22"/>
              </w:rPr>
              <w:t>5,653</w:t>
            </w:r>
          </w:p>
        </w:tc>
        <w:tc>
          <w:tcPr>
            <w:tcW w:w="833" w:type="pct"/>
            <w:tcBorders>
              <w:top w:val="single" w:sz="4" w:space="0" w:color="auto"/>
              <w:left w:val="single" w:sz="4" w:space="0" w:color="auto"/>
              <w:bottom w:val="single" w:sz="4" w:space="0" w:color="auto"/>
              <w:right w:val="single" w:sz="4" w:space="0" w:color="auto"/>
            </w:tcBorders>
            <w:vAlign w:val="center"/>
          </w:tcPr>
          <w:p w14:paraId="642F98BB" w14:textId="7FB7030D" w:rsidR="0063388D" w:rsidRPr="0063388D" w:rsidRDefault="0063388D" w:rsidP="0063388D">
            <w:pPr>
              <w:jc w:val="center"/>
              <w:rPr>
                <w:sz w:val="22"/>
              </w:rPr>
            </w:pPr>
            <w:r w:rsidRPr="0063388D">
              <w:rPr>
                <w:color w:val="000000"/>
                <w:sz w:val="22"/>
              </w:rPr>
              <w:t>5,105</w:t>
            </w:r>
          </w:p>
        </w:tc>
        <w:tc>
          <w:tcPr>
            <w:tcW w:w="834" w:type="pct"/>
            <w:tcBorders>
              <w:top w:val="nil"/>
              <w:left w:val="single" w:sz="4" w:space="0" w:color="auto"/>
              <w:bottom w:val="single" w:sz="4" w:space="0" w:color="auto"/>
              <w:right w:val="single" w:sz="4" w:space="0" w:color="auto"/>
            </w:tcBorders>
            <w:shd w:val="clear" w:color="auto" w:fill="auto"/>
            <w:noWrap/>
            <w:vAlign w:val="center"/>
          </w:tcPr>
          <w:p w14:paraId="11031D78" w14:textId="3CBB2540" w:rsidR="0063388D" w:rsidRPr="00CB28A8" w:rsidRDefault="0063388D" w:rsidP="0063388D">
            <w:pPr>
              <w:jc w:val="center"/>
              <w:rPr>
                <w:sz w:val="22"/>
              </w:rPr>
            </w:pPr>
            <w:r w:rsidRPr="00CB28A8">
              <w:rPr>
                <w:color w:val="000000"/>
                <w:sz w:val="22"/>
              </w:rPr>
              <w:t>900</w:t>
            </w:r>
          </w:p>
        </w:tc>
      </w:tr>
      <w:tr w:rsidR="0063388D" w:rsidRPr="0039677D" w14:paraId="6673863A" w14:textId="77777777" w:rsidTr="00CC4E83">
        <w:trPr>
          <w:trHeight w:val="288"/>
        </w:trPr>
        <w:tc>
          <w:tcPr>
            <w:tcW w:w="833" w:type="pct"/>
            <w:tcBorders>
              <w:top w:val="nil"/>
              <w:left w:val="single" w:sz="4" w:space="0" w:color="auto"/>
              <w:bottom w:val="single" w:sz="4" w:space="0" w:color="auto"/>
              <w:right w:val="single" w:sz="4" w:space="0" w:color="auto"/>
            </w:tcBorders>
            <w:shd w:val="clear" w:color="auto" w:fill="auto"/>
            <w:noWrap/>
            <w:vAlign w:val="center"/>
          </w:tcPr>
          <w:p w14:paraId="7347FBF1" w14:textId="7290CC35" w:rsidR="0063388D" w:rsidRPr="00CB28A8" w:rsidRDefault="0063388D" w:rsidP="0063388D">
            <w:pPr>
              <w:jc w:val="center"/>
              <w:rPr>
                <w:sz w:val="22"/>
              </w:rPr>
            </w:pPr>
            <w:r w:rsidRPr="00CB28A8">
              <w:rPr>
                <w:color w:val="000000"/>
                <w:sz w:val="22"/>
              </w:rPr>
              <w:t>2020</w:t>
            </w:r>
          </w:p>
        </w:tc>
        <w:tc>
          <w:tcPr>
            <w:tcW w:w="833" w:type="pct"/>
            <w:tcBorders>
              <w:top w:val="nil"/>
              <w:left w:val="nil"/>
              <w:bottom w:val="single" w:sz="4" w:space="0" w:color="auto"/>
              <w:right w:val="single" w:sz="4" w:space="0" w:color="auto"/>
            </w:tcBorders>
            <w:shd w:val="clear" w:color="auto" w:fill="auto"/>
            <w:noWrap/>
            <w:vAlign w:val="center"/>
          </w:tcPr>
          <w:p w14:paraId="2B99432A" w14:textId="711296B4" w:rsidR="0063388D" w:rsidRPr="001E15C4" w:rsidRDefault="0063388D" w:rsidP="0063388D">
            <w:pPr>
              <w:jc w:val="center"/>
              <w:rPr>
                <w:sz w:val="22"/>
              </w:rPr>
            </w:pPr>
            <w:r w:rsidRPr="001E15C4">
              <w:rPr>
                <w:color w:val="000000"/>
                <w:sz w:val="22"/>
              </w:rPr>
              <w:t>110,172</w:t>
            </w:r>
          </w:p>
        </w:tc>
        <w:tc>
          <w:tcPr>
            <w:tcW w:w="834" w:type="pct"/>
            <w:tcBorders>
              <w:top w:val="nil"/>
              <w:left w:val="nil"/>
              <w:bottom w:val="single" w:sz="4" w:space="0" w:color="auto"/>
              <w:right w:val="single" w:sz="4" w:space="0" w:color="auto"/>
            </w:tcBorders>
            <w:shd w:val="clear" w:color="auto" w:fill="auto"/>
            <w:noWrap/>
            <w:vAlign w:val="center"/>
          </w:tcPr>
          <w:p w14:paraId="31B26A6A" w14:textId="712C73FE" w:rsidR="0063388D" w:rsidRPr="001E15C4" w:rsidRDefault="0063388D" w:rsidP="0063388D">
            <w:pPr>
              <w:jc w:val="center"/>
              <w:rPr>
                <w:sz w:val="22"/>
              </w:rPr>
            </w:pPr>
            <w:r w:rsidRPr="001E15C4">
              <w:rPr>
                <w:color w:val="000000"/>
                <w:sz w:val="22"/>
              </w:rPr>
              <w:t>12,632</w:t>
            </w:r>
          </w:p>
        </w:tc>
        <w:tc>
          <w:tcPr>
            <w:tcW w:w="833" w:type="pct"/>
            <w:tcBorders>
              <w:top w:val="single" w:sz="4" w:space="0" w:color="auto"/>
              <w:left w:val="single" w:sz="4" w:space="0" w:color="auto"/>
              <w:bottom w:val="single" w:sz="4" w:space="0" w:color="auto"/>
              <w:right w:val="single" w:sz="4" w:space="0" w:color="auto"/>
            </w:tcBorders>
            <w:vAlign w:val="center"/>
          </w:tcPr>
          <w:p w14:paraId="0B53D34F" w14:textId="516ADA2C" w:rsidR="0063388D" w:rsidRPr="001E15C4" w:rsidRDefault="0063388D" w:rsidP="0063388D">
            <w:pPr>
              <w:jc w:val="center"/>
              <w:rPr>
                <w:sz w:val="22"/>
              </w:rPr>
            </w:pPr>
            <w:r w:rsidRPr="001E15C4">
              <w:rPr>
                <w:color w:val="000000"/>
                <w:sz w:val="22"/>
              </w:rPr>
              <w:t>109,307</w:t>
            </w:r>
          </w:p>
        </w:tc>
        <w:tc>
          <w:tcPr>
            <w:tcW w:w="833" w:type="pct"/>
            <w:tcBorders>
              <w:top w:val="single" w:sz="4" w:space="0" w:color="auto"/>
              <w:left w:val="single" w:sz="4" w:space="0" w:color="auto"/>
              <w:bottom w:val="single" w:sz="4" w:space="0" w:color="auto"/>
              <w:right w:val="single" w:sz="4" w:space="0" w:color="auto"/>
            </w:tcBorders>
            <w:vAlign w:val="center"/>
          </w:tcPr>
          <w:p w14:paraId="29DE403D" w14:textId="2AFD0F06" w:rsidR="0063388D" w:rsidRPr="0063388D" w:rsidRDefault="0063388D" w:rsidP="0063388D">
            <w:pPr>
              <w:jc w:val="center"/>
              <w:rPr>
                <w:sz w:val="22"/>
              </w:rPr>
            </w:pPr>
            <w:r w:rsidRPr="0063388D">
              <w:rPr>
                <w:color w:val="000000"/>
                <w:sz w:val="22"/>
              </w:rPr>
              <w:t>87,491</w:t>
            </w:r>
          </w:p>
        </w:tc>
        <w:tc>
          <w:tcPr>
            <w:tcW w:w="834" w:type="pct"/>
            <w:tcBorders>
              <w:top w:val="nil"/>
              <w:left w:val="single" w:sz="4" w:space="0" w:color="auto"/>
              <w:bottom w:val="single" w:sz="4" w:space="0" w:color="auto"/>
              <w:right w:val="single" w:sz="4" w:space="0" w:color="auto"/>
            </w:tcBorders>
            <w:shd w:val="clear" w:color="auto" w:fill="auto"/>
            <w:noWrap/>
            <w:vAlign w:val="center"/>
          </w:tcPr>
          <w:p w14:paraId="4E532306" w14:textId="481C7819" w:rsidR="0063388D" w:rsidRPr="00CB28A8" w:rsidRDefault="0063388D" w:rsidP="0063388D">
            <w:pPr>
              <w:jc w:val="center"/>
              <w:rPr>
                <w:sz w:val="22"/>
              </w:rPr>
            </w:pPr>
            <w:r w:rsidRPr="00CB28A8">
              <w:rPr>
                <w:color w:val="000000"/>
                <w:sz w:val="22"/>
              </w:rPr>
              <w:t>43,900</w:t>
            </w:r>
          </w:p>
        </w:tc>
      </w:tr>
      <w:tr w:rsidR="0063388D" w:rsidRPr="0039677D" w14:paraId="0C36C6BA" w14:textId="77777777" w:rsidTr="00CC4E83">
        <w:trPr>
          <w:trHeight w:val="288"/>
        </w:trPr>
        <w:tc>
          <w:tcPr>
            <w:tcW w:w="833" w:type="pct"/>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14:paraId="46D29601" w14:textId="77777777" w:rsidR="0063388D" w:rsidRDefault="0063388D" w:rsidP="0063388D">
            <w:pPr>
              <w:jc w:val="center"/>
              <w:rPr>
                <w:b/>
                <w:bCs/>
                <w:color w:val="000000"/>
                <w:sz w:val="22"/>
              </w:rPr>
            </w:pPr>
            <w:r w:rsidRPr="00CB28A8">
              <w:rPr>
                <w:b/>
                <w:bCs/>
                <w:color w:val="000000"/>
                <w:sz w:val="22"/>
              </w:rPr>
              <w:t xml:space="preserve">Total, </w:t>
            </w:r>
          </w:p>
          <w:p w14:paraId="183773C6" w14:textId="6F165548" w:rsidR="0063388D" w:rsidRPr="00CB28A8" w:rsidRDefault="0063388D" w:rsidP="0063388D">
            <w:pPr>
              <w:jc w:val="center"/>
              <w:rPr>
                <w:b/>
                <w:bCs/>
                <w:color w:val="000000"/>
                <w:sz w:val="22"/>
              </w:rPr>
            </w:pPr>
            <w:r w:rsidRPr="00CB28A8">
              <w:rPr>
                <w:b/>
                <w:bCs/>
                <w:color w:val="000000"/>
                <w:sz w:val="22"/>
              </w:rPr>
              <w:t>2007-2020</w:t>
            </w:r>
          </w:p>
        </w:tc>
        <w:tc>
          <w:tcPr>
            <w:tcW w:w="833" w:type="pct"/>
            <w:tcBorders>
              <w:top w:val="nil"/>
              <w:left w:val="nil"/>
              <w:bottom w:val="single" w:sz="4" w:space="0" w:color="auto"/>
              <w:right w:val="single" w:sz="4" w:space="0" w:color="auto"/>
            </w:tcBorders>
            <w:shd w:val="clear" w:color="auto" w:fill="BFBFBF" w:themeFill="background1" w:themeFillShade="BF"/>
            <w:noWrap/>
            <w:vAlign w:val="center"/>
          </w:tcPr>
          <w:p w14:paraId="2261449B" w14:textId="0B40B06A" w:rsidR="0063388D" w:rsidRPr="001E15C4" w:rsidRDefault="0063388D" w:rsidP="0063388D">
            <w:pPr>
              <w:jc w:val="center"/>
              <w:rPr>
                <w:b/>
                <w:bCs/>
                <w:color w:val="000000"/>
                <w:sz w:val="22"/>
              </w:rPr>
            </w:pPr>
            <w:r w:rsidRPr="001E15C4">
              <w:rPr>
                <w:b/>
                <w:bCs/>
                <w:color w:val="000000"/>
                <w:sz w:val="22"/>
              </w:rPr>
              <w:t>950,762</w:t>
            </w:r>
          </w:p>
        </w:tc>
        <w:tc>
          <w:tcPr>
            <w:tcW w:w="834" w:type="pct"/>
            <w:tcBorders>
              <w:top w:val="nil"/>
              <w:left w:val="nil"/>
              <w:bottom w:val="single" w:sz="4" w:space="0" w:color="auto"/>
              <w:right w:val="single" w:sz="4" w:space="0" w:color="auto"/>
            </w:tcBorders>
            <w:shd w:val="clear" w:color="auto" w:fill="BFBFBF" w:themeFill="background1" w:themeFillShade="BF"/>
            <w:noWrap/>
            <w:vAlign w:val="center"/>
          </w:tcPr>
          <w:p w14:paraId="0891A157" w14:textId="4BBC9199" w:rsidR="0063388D" w:rsidRPr="001E15C4" w:rsidRDefault="0063388D" w:rsidP="0063388D">
            <w:pPr>
              <w:jc w:val="center"/>
              <w:rPr>
                <w:b/>
                <w:bCs/>
                <w:color w:val="000000"/>
                <w:sz w:val="22"/>
              </w:rPr>
            </w:pPr>
            <w:r w:rsidRPr="001E15C4">
              <w:rPr>
                <w:b/>
                <w:bCs/>
                <w:color w:val="000000"/>
                <w:sz w:val="22"/>
              </w:rPr>
              <w:t>212,104</w:t>
            </w:r>
          </w:p>
        </w:tc>
        <w:tc>
          <w:tcPr>
            <w:tcW w:w="833"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20EE7D59" w14:textId="1C2A722D" w:rsidR="0063388D" w:rsidRPr="001E15C4" w:rsidRDefault="0063388D" w:rsidP="0063388D">
            <w:pPr>
              <w:jc w:val="center"/>
              <w:rPr>
                <w:b/>
                <w:bCs/>
                <w:color w:val="000000"/>
                <w:sz w:val="22"/>
              </w:rPr>
            </w:pPr>
            <w:r w:rsidRPr="001E15C4">
              <w:rPr>
                <w:b/>
                <w:bCs/>
                <w:color w:val="000000"/>
                <w:sz w:val="22"/>
              </w:rPr>
              <w:t>710,253</w:t>
            </w:r>
          </w:p>
        </w:tc>
        <w:tc>
          <w:tcPr>
            <w:tcW w:w="833"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784B8B4E" w14:textId="4936120D" w:rsidR="0063388D" w:rsidRPr="0063388D" w:rsidRDefault="0063388D" w:rsidP="0063388D">
            <w:pPr>
              <w:jc w:val="center"/>
              <w:rPr>
                <w:b/>
                <w:bCs/>
                <w:color w:val="000000"/>
                <w:sz w:val="22"/>
              </w:rPr>
            </w:pPr>
            <w:r w:rsidRPr="0063388D">
              <w:rPr>
                <w:b/>
                <w:bCs/>
                <w:color w:val="000000"/>
                <w:sz w:val="22"/>
              </w:rPr>
              <w:t>539,586</w:t>
            </w:r>
          </w:p>
        </w:tc>
        <w:tc>
          <w:tcPr>
            <w:tcW w:w="834" w:type="pct"/>
            <w:tcBorders>
              <w:top w:val="nil"/>
              <w:left w:val="single" w:sz="4" w:space="0" w:color="auto"/>
              <w:bottom w:val="single" w:sz="4" w:space="0" w:color="auto"/>
              <w:right w:val="single" w:sz="4" w:space="0" w:color="auto"/>
            </w:tcBorders>
            <w:shd w:val="clear" w:color="auto" w:fill="BFBFBF" w:themeFill="background1" w:themeFillShade="BF"/>
            <w:noWrap/>
            <w:vAlign w:val="center"/>
          </w:tcPr>
          <w:p w14:paraId="052C3696" w14:textId="26C534D4" w:rsidR="0063388D" w:rsidRPr="00CB28A8" w:rsidRDefault="0063388D" w:rsidP="0063388D">
            <w:pPr>
              <w:jc w:val="center"/>
              <w:rPr>
                <w:b/>
                <w:bCs/>
                <w:color w:val="000000"/>
                <w:sz w:val="22"/>
              </w:rPr>
            </w:pPr>
            <w:r w:rsidRPr="00CB28A8">
              <w:rPr>
                <w:b/>
                <w:bCs/>
                <w:color w:val="000000"/>
                <w:sz w:val="22"/>
              </w:rPr>
              <w:t>411,000</w:t>
            </w:r>
          </w:p>
        </w:tc>
      </w:tr>
      <w:tr w:rsidR="0063388D" w:rsidRPr="0039677D" w14:paraId="206B758C" w14:textId="77777777" w:rsidTr="00CC4E83">
        <w:trPr>
          <w:trHeight w:val="288"/>
        </w:trPr>
        <w:tc>
          <w:tcPr>
            <w:tcW w:w="833" w:type="pct"/>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14:paraId="2C7283D2" w14:textId="68DB193C" w:rsidR="0063388D" w:rsidRPr="00CB28A8" w:rsidRDefault="0063388D" w:rsidP="0063388D">
            <w:pPr>
              <w:jc w:val="center"/>
              <w:rPr>
                <w:b/>
                <w:bCs/>
                <w:color w:val="000000"/>
                <w:sz w:val="22"/>
              </w:rPr>
            </w:pPr>
            <w:r w:rsidRPr="00CB28A8">
              <w:rPr>
                <w:b/>
                <w:bCs/>
                <w:color w:val="000000"/>
                <w:sz w:val="22"/>
              </w:rPr>
              <w:t>Average, 2007-2020</w:t>
            </w:r>
          </w:p>
        </w:tc>
        <w:tc>
          <w:tcPr>
            <w:tcW w:w="833" w:type="pct"/>
            <w:tcBorders>
              <w:top w:val="single" w:sz="4" w:space="0" w:color="auto"/>
              <w:left w:val="nil"/>
              <w:bottom w:val="single" w:sz="4" w:space="0" w:color="auto"/>
              <w:right w:val="single" w:sz="4" w:space="0" w:color="auto"/>
            </w:tcBorders>
            <w:shd w:val="clear" w:color="auto" w:fill="BFBFBF" w:themeFill="background1" w:themeFillShade="BF"/>
            <w:noWrap/>
            <w:vAlign w:val="center"/>
          </w:tcPr>
          <w:p w14:paraId="4037D63F" w14:textId="236AE8CA" w:rsidR="0063388D" w:rsidRPr="001E15C4" w:rsidRDefault="0063388D" w:rsidP="0063388D">
            <w:pPr>
              <w:jc w:val="center"/>
              <w:rPr>
                <w:b/>
                <w:bCs/>
                <w:color w:val="000000"/>
                <w:sz w:val="22"/>
              </w:rPr>
            </w:pPr>
            <w:r w:rsidRPr="001E15C4">
              <w:rPr>
                <w:b/>
                <w:bCs/>
                <w:color w:val="000000"/>
                <w:sz w:val="22"/>
              </w:rPr>
              <w:t>67,912</w:t>
            </w:r>
          </w:p>
        </w:tc>
        <w:tc>
          <w:tcPr>
            <w:tcW w:w="834" w:type="pct"/>
            <w:tcBorders>
              <w:top w:val="single" w:sz="4" w:space="0" w:color="auto"/>
              <w:left w:val="nil"/>
              <w:bottom w:val="single" w:sz="4" w:space="0" w:color="auto"/>
              <w:right w:val="single" w:sz="4" w:space="0" w:color="auto"/>
            </w:tcBorders>
            <w:shd w:val="clear" w:color="auto" w:fill="BFBFBF" w:themeFill="background1" w:themeFillShade="BF"/>
            <w:noWrap/>
            <w:vAlign w:val="center"/>
          </w:tcPr>
          <w:p w14:paraId="39230940" w14:textId="577148F3" w:rsidR="0063388D" w:rsidRPr="001E15C4" w:rsidRDefault="0063388D" w:rsidP="0063388D">
            <w:pPr>
              <w:jc w:val="center"/>
              <w:rPr>
                <w:b/>
                <w:bCs/>
                <w:color w:val="000000"/>
                <w:sz w:val="22"/>
              </w:rPr>
            </w:pPr>
            <w:r w:rsidRPr="001E15C4">
              <w:rPr>
                <w:b/>
                <w:bCs/>
                <w:color w:val="000000"/>
                <w:sz w:val="22"/>
              </w:rPr>
              <w:t>15,150</w:t>
            </w:r>
          </w:p>
        </w:tc>
        <w:tc>
          <w:tcPr>
            <w:tcW w:w="833"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387A9E26" w14:textId="30087BA1" w:rsidR="0063388D" w:rsidRPr="001E15C4" w:rsidRDefault="0063388D" w:rsidP="0063388D">
            <w:pPr>
              <w:jc w:val="center"/>
              <w:rPr>
                <w:b/>
                <w:bCs/>
                <w:color w:val="000000"/>
                <w:sz w:val="22"/>
              </w:rPr>
            </w:pPr>
            <w:r w:rsidRPr="001E15C4">
              <w:rPr>
                <w:b/>
                <w:bCs/>
                <w:color w:val="000000"/>
                <w:sz w:val="22"/>
              </w:rPr>
              <w:t>50,732</w:t>
            </w:r>
          </w:p>
        </w:tc>
        <w:tc>
          <w:tcPr>
            <w:tcW w:w="833"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5311E8A7" w14:textId="3A5F5164" w:rsidR="0063388D" w:rsidRPr="0063388D" w:rsidRDefault="0063388D" w:rsidP="0063388D">
            <w:pPr>
              <w:jc w:val="center"/>
              <w:rPr>
                <w:b/>
                <w:bCs/>
                <w:color w:val="000000"/>
                <w:sz w:val="22"/>
              </w:rPr>
            </w:pPr>
            <w:r w:rsidRPr="0063388D">
              <w:rPr>
                <w:b/>
                <w:bCs/>
                <w:color w:val="000000"/>
                <w:sz w:val="22"/>
              </w:rPr>
              <w:t>38,542</w:t>
            </w:r>
          </w:p>
        </w:tc>
        <w:tc>
          <w:tcPr>
            <w:tcW w:w="834" w:type="pct"/>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tcPr>
          <w:p w14:paraId="71172821" w14:textId="32A5468B" w:rsidR="0063388D" w:rsidRPr="00CB28A8" w:rsidRDefault="0063388D" w:rsidP="0063388D">
            <w:pPr>
              <w:jc w:val="center"/>
              <w:rPr>
                <w:b/>
                <w:bCs/>
                <w:color w:val="000000"/>
                <w:sz w:val="22"/>
              </w:rPr>
            </w:pPr>
            <w:r w:rsidRPr="00CB28A8">
              <w:rPr>
                <w:b/>
                <w:bCs/>
                <w:color w:val="000000"/>
                <w:sz w:val="22"/>
              </w:rPr>
              <w:t>29,400</w:t>
            </w:r>
          </w:p>
        </w:tc>
      </w:tr>
      <w:tr w:rsidR="0063388D" w:rsidRPr="0039677D" w14:paraId="553D45AF" w14:textId="77777777" w:rsidTr="00CC4E83">
        <w:trPr>
          <w:trHeight w:val="288"/>
        </w:trPr>
        <w:tc>
          <w:tcPr>
            <w:tcW w:w="833" w:type="pct"/>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tcPr>
          <w:p w14:paraId="1C88175B" w14:textId="77777777" w:rsidR="0063388D" w:rsidRDefault="0063388D" w:rsidP="0063388D">
            <w:pPr>
              <w:jc w:val="center"/>
              <w:rPr>
                <w:b/>
                <w:bCs/>
                <w:color w:val="000000"/>
                <w:sz w:val="22"/>
              </w:rPr>
            </w:pPr>
            <w:r w:rsidRPr="00CB28A8">
              <w:rPr>
                <w:b/>
                <w:bCs/>
                <w:color w:val="000000"/>
                <w:sz w:val="22"/>
              </w:rPr>
              <w:t xml:space="preserve">Total, </w:t>
            </w:r>
          </w:p>
          <w:p w14:paraId="7542951D" w14:textId="3EC812DA" w:rsidR="0063388D" w:rsidRPr="00CB28A8" w:rsidRDefault="0063388D" w:rsidP="0063388D">
            <w:pPr>
              <w:jc w:val="center"/>
              <w:rPr>
                <w:b/>
                <w:bCs/>
                <w:color w:val="000000"/>
                <w:sz w:val="22"/>
              </w:rPr>
            </w:pPr>
            <w:r w:rsidRPr="00CB28A8">
              <w:rPr>
                <w:b/>
                <w:bCs/>
                <w:color w:val="000000"/>
                <w:sz w:val="22"/>
              </w:rPr>
              <w:t>2012-2020</w:t>
            </w:r>
          </w:p>
        </w:tc>
        <w:tc>
          <w:tcPr>
            <w:tcW w:w="833" w:type="pct"/>
            <w:tcBorders>
              <w:top w:val="single" w:sz="4" w:space="0" w:color="auto"/>
              <w:left w:val="nil"/>
              <w:bottom w:val="single" w:sz="4" w:space="0" w:color="auto"/>
              <w:right w:val="single" w:sz="4" w:space="0" w:color="auto"/>
            </w:tcBorders>
            <w:shd w:val="clear" w:color="auto" w:fill="BFBFBF" w:themeFill="background1" w:themeFillShade="BF"/>
            <w:noWrap/>
            <w:vAlign w:val="center"/>
          </w:tcPr>
          <w:p w14:paraId="165F7BC3" w14:textId="507B91CD" w:rsidR="0063388D" w:rsidRPr="001E15C4" w:rsidRDefault="0063388D" w:rsidP="0063388D">
            <w:pPr>
              <w:jc w:val="center"/>
              <w:rPr>
                <w:b/>
                <w:sz w:val="22"/>
              </w:rPr>
            </w:pPr>
            <w:r w:rsidRPr="001E15C4">
              <w:rPr>
                <w:b/>
                <w:bCs/>
                <w:color w:val="000000"/>
                <w:sz w:val="22"/>
              </w:rPr>
              <w:t>773,509</w:t>
            </w:r>
          </w:p>
        </w:tc>
        <w:tc>
          <w:tcPr>
            <w:tcW w:w="834" w:type="pct"/>
            <w:tcBorders>
              <w:top w:val="single" w:sz="4" w:space="0" w:color="auto"/>
              <w:left w:val="nil"/>
              <w:bottom w:val="single" w:sz="4" w:space="0" w:color="auto"/>
              <w:right w:val="single" w:sz="4" w:space="0" w:color="auto"/>
            </w:tcBorders>
            <w:shd w:val="clear" w:color="auto" w:fill="BFBFBF" w:themeFill="background1" w:themeFillShade="BF"/>
            <w:noWrap/>
            <w:vAlign w:val="center"/>
          </w:tcPr>
          <w:p w14:paraId="681BB5FD" w14:textId="2F9535CC" w:rsidR="0063388D" w:rsidRPr="001E15C4" w:rsidRDefault="0063388D" w:rsidP="0063388D">
            <w:pPr>
              <w:jc w:val="center"/>
              <w:rPr>
                <w:b/>
                <w:sz w:val="22"/>
              </w:rPr>
            </w:pPr>
            <w:r w:rsidRPr="001E15C4">
              <w:rPr>
                <w:b/>
                <w:bCs/>
                <w:color w:val="000000"/>
                <w:sz w:val="22"/>
              </w:rPr>
              <w:t>111,838</w:t>
            </w:r>
          </w:p>
        </w:tc>
        <w:tc>
          <w:tcPr>
            <w:tcW w:w="833"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45868D8C" w14:textId="0A3DA22A" w:rsidR="0063388D" w:rsidRPr="001E15C4" w:rsidRDefault="0063388D" w:rsidP="0063388D">
            <w:pPr>
              <w:jc w:val="center"/>
              <w:rPr>
                <w:b/>
                <w:sz w:val="22"/>
              </w:rPr>
            </w:pPr>
            <w:r w:rsidRPr="001E15C4">
              <w:rPr>
                <w:b/>
                <w:bCs/>
                <w:color w:val="000000"/>
                <w:sz w:val="22"/>
              </w:rPr>
              <w:t>622,804</w:t>
            </w:r>
          </w:p>
        </w:tc>
        <w:tc>
          <w:tcPr>
            <w:tcW w:w="833"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55F1145E" w14:textId="75C24CE8" w:rsidR="0063388D" w:rsidRPr="0063388D" w:rsidRDefault="0063388D" w:rsidP="0063388D">
            <w:pPr>
              <w:jc w:val="center"/>
              <w:rPr>
                <w:b/>
                <w:sz w:val="22"/>
              </w:rPr>
            </w:pPr>
            <w:r w:rsidRPr="0063388D">
              <w:rPr>
                <w:b/>
                <w:bCs/>
                <w:color w:val="000000"/>
                <w:sz w:val="22"/>
              </w:rPr>
              <w:t>484,034</w:t>
            </w:r>
          </w:p>
        </w:tc>
        <w:tc>
          <w:tcPr>
            <w:tcW w:w="834" w:type="pct"/>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tcPr>
          <w:p w14:paraId="1CA73231" w14:textId="2B940275" w:rsidR="0063388D" w:rsidRPr="00CB28A8" w:rsidRDefault="0063388D" w:rsidP="0063388D">
            <w:pPr>
              <w:jc w:val="center"/>
              <w:rPr>
                <w:b/>
                <w:sz w:val="22"/>
              </w:rPr>
            </w:pPr>
            <w:r w:rsidRPr="00CB28A8">
              <w:rPr>
                <w:b/>
                <w:bCs/>
                <w:color w:val="000000"/>
                <w:sz w:val="22"/>
              </w:rPr>
              <w:t>376,400</w:t>
            </w:r>
          </w:p>
        </w:tc>
      </w:tr>
      <w:tr w:rsidR="0063388D" w:rsidRPr="0039677D" w14:paraId="284AA1D7" w14:textId="77777777" w:rsidTr="00CC4E83">
        <w:trPr>
          <w:trHeight w:val="288"/>
        </w:trPr>
        <w:tc>
          <w:tcPr>
            <w:tcW w:w="833" w:type="pct"/>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tcPr>
          <w:p w14:paraId="07D26EF5" w14:textId="6FA4AD10" w:rsidR="0063388D" w:rsidRPr="00CB28A8" w:rsidRDefault="0063388D" w:rsidP="0063388D">
            <w:pPr>
              <w:jc w:val="center"/>
              <w:rPr>
                <w:b/>
                <w:bCs/>
                <w:color w:val="000000"/>
                <w:sz w:val="22"/>
              </w:rPr>
            </w:pPr>
            <w:r w:rsidRPr="00CB28A8">
              <w:rPr>
                <w:b/>
                <w:bCs/>
                <w:color w:val="000000"/>
                <w:sz w:val="22"/>
              </w:rPr>
              <w:t>Average, 2012-2020</w:t>
            </w:r>
          </w:p>
        </w:tc>
        <w:tc>
          <w:tcPr>
            <w:tcW w:w="833" w:type="pct"/>
            <w:tcBorders>
              <w:top w:val="single" w:sz="4" w:space="0" w:color="auto"/>
              <w:left w:val="nil"/>
              <w:bottom w:val="single" w:sz="4" w:space="0" w:color="auto"/>
              <w:right w:val="single" w:sz="4" w:space="0" w:color="auto"/>
            </w:tcBorders>
            <w:shd w:val="clear" w:color="auto" w:fill="BFBFBF" w:themeFill="background1" w:themeFillShade="BF"/>
            <w:noWrap/>
            <w:vAlign w:val="center"/>
          </w:tcPr>
          <w:p w14:paraId="2EF74FD9" w14:textId="7982CA92" w:rsidR="0063388D" w:rsidRPr="001E15C4" w:rsidRDefault="0063388D" w:rsidP="0063388D">
            <w:pPr>
              <w:jc w:val="center"/>
              <w:rPr>
                <w:b/>
                <w:sz w:val="22"/>
              </w:rPr>
            </w:pPr>
            <w:r w:rsidRPr="001E15C4">
              <w:rPr>
                <w:b/>
                <w:bCs/>
                <w:color w:val="000000"/>
                <w:sz w:val="22"/>
              </w:rPr>
              <w:t>85,945</w:t>
            </w:r>
          </w:p>
        </w:tc>
        <w:tc>
          <w:tcPr>
            <w:tcW w:w="834" w:type="pct"/>
            <w:tcBorders>
              <w:top w:val="single" w:sz="4" w:space="0" w:color="auto"/>
              <w:left w:val="nil"/>
              <w:bottom w:val="single" w:sz="4" w:space="0" w:color="auto"/>
              <w:right w:val="single" w:sz="4" w:space="0" w:color="auto"/>
            </w:tcBorders>
            <w:shd w:val="clear" w:color="auto" w:fill="BFBFBF" w:themeFill="background1" w:themeFillShade="BF"/>
            <w:noWrap/>
            <w:vAlign w:val="center"/>
          </w:tcPr>
          <w:p w14:paraId="60BEFD10" w14:textId="29A22E6A" w:rsidR="0063388D" w:rsidRPr="001E15C4" w:rsidRDefault="0063388D" w:rsidP="0063388D">
            <w:pPr>
              <w:jc w:val="center"/>
              <w:rPr>
                <w:b/>
                <w:sz w:val="22"/>
              </w:rPr>
            </w:pPr>
            <w:r w:rsidRPr="001E15C4">
              <w:rPr>
                <w:b/>
                <w:bCs/>
                <w:color w:val="000000"/>
                <w:sz w:val="22"/>
              </w:rPr>
              <w:t>12,426</w:t>
            </w:r>
          </w:p>
        </w:tc>
        <w:tc>
          <w:tcPr>
            <w:tcW w:w="833"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7195A8FC" w14:textId="4DDB5739" w:rsidR="0063388D" w:rsidRPr="001E15C4" w:rsidRDefault="0063388D" w:rsidP="0063388D">
            <w:pPr>
              <w:jc w:val="center"/>
              <w:rPr>
                <w:b/>
                <w:sz w:val="22"/>
              </w:rPr>
            </w:pPr>
            <w:r w:rsidRPr="001E15C4">
              <w:rPr>
                <w:b/>
                <w:bCs/>
                <w:color w:val="000000"/>
                <w:sz w:val="22"/>
              </w:rPr>
              <w:t>69,200</w:t>
            </w:r>
          </w:p>
        </w:tc>
        <w:tc>
          <w:tcPr>
            <w:tcW w:w="833"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1580CC34" w14:textId="3A0D497B" w:rsidR="0063388D" w:rsidRPr="0063388D" w:rsidRDefault="0063388D" w:rsidP="0063388D">
            <w:pPr>
              <w:jc w:val="center"/>
              <w:rPr>
                <w:b/>
                <w:sz w:val="22"/>
              </w:rPr>
            </w:pPr>
            <w:r w:rsidRPr="0063388D">
              <w:rPr>
                <w:b/>
                <w:bCs/>
                <w:color w:val="000000"/>
                <w:sz w:val="22"/>
              </w:rPr>
              <w:t>53,782</w:t>
            </w:r>
          </w:p>
        </w:tc>
        <w:tc>
          <w:tcPr>
            <w:tcW w:w="834" w:type="pct"/>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tcPr>
          <w:p w14:paraId="092695B9" w14:textId="6CF10BB7" w:rsidR="0063388D" w:rsidRPr="00CB28A8" w:rsidRDefault="0063388D" w:rsidP="0063388D">
            <w:pPr>
              <w:jc w:val="center"/>
              <w:rPr>
                <w:b/>
                <w:sz w:val="22"/>
              </w:rPr>
            </w:pPr>
            <w:r w:rsidRPr="00CB28A8">
              <w:rPr>
                <w:b/>
                <w:bCs/>
                <w:color w:val="000000"/>
                <w:sz w:val="22"/>
              </w:rPr>
              <w:t>41,800</w:t>
            </w:r>
          </w:p>
        </w:tc>
      </w:tr>
    </w:tbl>
    <w:p w14:paraId="1CC6FA8C" w14:textId="77777777" w:rsidR="00C0451D" w:rsidRDefault="00C0451D" w:rsidP="00E72742"/>
    <w:sectPr w:rsidR="00C0451D" w:rsidSect="003E0911">
      <w:headerReference w:type="default" r:id="rId21"/>
      <w:footerReference w:type="default" r:id="rId22"/>
      <w:pgSz w:w="12240" w:h="15840" w:code="1"/>
      <w:pgMar w:top="1440" w:right="1440" w:bottom="180" w:left="1440" w:header="720" w:footer="720" w:gutter="0"/>
      <w:lnNumType w:countBy="1" w:restart="continuou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FF4C25" w14:textId="77777777" w:rsidR="00874824" w:rsidRDefault="00874824" w:rsidP="004C7664">
      <w:r>
        <w:separator/>
      </w:r>
    </w:p>
  </w:endnote>
  <w:endnote w:type="continuationSeparator" w:id="0">
    <w:p w14:paraId="664D901B" w14:textId="77777777" w:rsidR="00874824" w:rsidRDefault="00874824" w:rsidP="004C76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1019128213"/>
      <w:docPartObj>
        <w:docPartGallery w:val="Page Numbers (Bottom of Page)"/>
        <w:docPartUnique/>
      </w:docPartObj>
    </w:sdtPr>
    <w:sdtEndPr/>
    <w:sdtContent>
      <w:sdt>
        <w:sdtPr>
          <w:rPr>
            <w:sz w:val="18"/>
            <w:szCs w:val="18"/>
          </w:rPr>
          <w:id w:val="-1769616900"/>
          <w:docPartObj>
            <w:docPartGallery w:val="Page Numbers (Top of Page)"/>
            <w:docPartUnique/>
          </w:docPartObj>
        </w:sdtPr>
        <w:sdtEndPr/>
        <w:sdtContent>
          <w:p w14:paraId="21A1C27E" w14:textId="3A13A2F6" w:rsidR="003E0911" w:rsidRPr="003E0911" w:rsidRDefault="003E0911">
            <w:pPr>
              <w:pStyle w:val="Footer"/>
              <w:jc w:val="right"/>
              <w:rPr>
                <w:sz w:val="18"/>
                <w:szCs w:val="18"/>
              </w:rPr>
            </w:pPr>
            <w:r w:rsidRPr="003E0911">
              <w:rPr>
                <w:sz w:val="18"/>
                <w:szCs w:val="18"/>
              </w:rPr>
              <w:t xml:space="preserve">Page </w:t>
            </w:r>
            <w:r w:rsidRPr="003E0911">
              <w:rPr>
                <w:sz w:val="18"/>
                <w:szCs w:val="18"/>
              </w:rPr>
              <w:fldChar w:fldCharType="begin"/>
            </w:r>
            <w:r w:rsidRPr="003E0911">
              <w:rPr>
                <w:sz w:val="18"/>
                <w:szCs w:val="18"/>
              </w:rPr>
              <w:instrText xml:space="preserve"> PAGE </w:instrText>
            </w:r>
            <w:r w:rsidRPr="003E0911">
              <w:rPr>
                <w:sz w:val="18"/>
                <w:szCs w:val="18"/>
              </w:rPr>
              <w:fldChar w:fldCharType="separate"/>
            </w:r>
            <w:r w:rsidRPr="003E0911">
              <w:rPr>
                <w:noProof/>
                <w:sz w:val="18"/>
                <w:szCs w:val="18"/>
              </w:rPr>
              <w:t>2</w:t>
            </w:r>
            <w:r w:rsidRPr="003E0911">
              <w:rPr>
                <w:sz w:val="18"/>
                <w:szCs w:val="18"/>
              </w:rPr>
              <w:fldChar w:fldCharType="end"/>
            </w:r>
            <w:r w:rsidRPr="003E0911">
              <w:rPr>
                <w:sz w:val="18"/>
                <w:szCs w:val="18"/>
              </w:rPr>
              <w:t xml:space="preserve"> of </w:t>
            </w:r>
            <w:r w:rsidRPr="003E0911">
              <w:rPr>
                <w:sz w:val="18"/>
                <w:szCs w:val="18"/>
              </w:rPr>
              <w:fldChar w:fldCharType="begin"/>
            </w:r>
            <w:r w:rsidRPr="003E0911">
              <w:rPr>
                <w:sz w:val="18"/>
                <w:szCs w:val="18"/>
              </w:rPr>
              <w:instrText xml:space="preserve"> NUMPAGES  </w:instrText>
            </w:r>
            <w:r w:rsidRPr="003E0911">
              <w:rPr>
                <w:sz w:val="18"/>
                <w:szCs w:val="18"/>
              </w:rPr>
              <w:fldChar w:fldCharType="separate"/>
            </w:r>
            <w:r w:rsidRPr="003E0911">
              <w:rPr>
                <w:noProof/>
                <w:sz w:val="18"/>
                <w:szCs w:val="18"/>
              </w:rPr>
              <w:t>2</w:t>
            </w:r>
            <w:r w:rsidRPr="003E0911">
              <w:rPr>
                <w:sz w:val="18"/>
                <w:szCs w:val="18"/>
              </w:rPr>
              <w:fldChar w:fldCharType="end"/>
            </w:r>
          </w:p>
        </w:sdtContent>
      </w:sdt>
    </w:sdtContent>
  </w:sdt>
  <w:p w14:paraId="2E9578C3" w14:textId="77777777" w:rsidR="003E0911" w:rsidRDefault="003E0911" w:rsidP="003E0911">
    <w:pPr>
      <w:pStyle w:val="Foote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557A92" w14:textId="77777777" w:rsidR="00874824" w:rsidRDefault="00874824" w:rsidP="004C7664">
      <w:r>
        <w:separator/>
      </w:r>
    </w:p>
  </w:footnote>
  <w:footnote w:type="continuationSeparator" w:id="0">
    <w:p w14:paraId="7743B4AB" w14:textId="77777777" w:rsidR="00874824" w:rsidRDefault="00874824" w:rsidP="004C7664">
      <w:r>
        <w:continuationSeparator/>
      </w:r>
    </w:p>
  </w:footnote>
  <w:footnote w:id="1">
    <w:p w14:paraId="1BA3A568" w14:textId="03FC3A0F" w:rsidR="004F4343" w:rsidRDefault="004F4343" w:rsidP="004F4343">
      <w:pPr>
        <w:pStyle w:val="CommentText"/>
      </w:pPr>
      <w:r w:rsidRPr="004F4343">
        <w:rPr>
          <w:rStyle w:val="FootnoteReference"/>
          <w:rFonts w:ascii="Times New Roman" w:hAnsi="Times New Roman"/>
        </w:rPr>
        <w:footnoteRef/>
      </w:r>
      <w:r w:rsidRPr="004F4343">
        <w:rPr>
          <w:rFonts w:ascii="Times New Roman" w:hAnsi="Times New Roman"/>
        </w:rPr>
        <w:t xml:space="preserve"> The need to regularly review Program water projects operations was specified in Milestone Steps 4.6 and 4.7 (Program Document, Attachment 2) and item #7 in Appendix B of the Water Plan Reference Material (Program Document, Attachment 5, Section 11).</w:t>
      </w:r>
    </w:p>
  </w:footnote>
  <w:footnote w:id="2">
    <w:p w14:paraId="7C30CC30" w14:textId="4EFA80E5" w:rsidR="00841F38" w:rsidRDefault="00841F38">
      <w:pPr>
        <w:pStyle w:val="FootnoteText"/>
      </w:pPr>
      <w:r>
        <w:rPr>
          <w:rStyle w:val="FootnoteReference"/>
        </w:rPr>
        <w:footnoteRef/>
      </w:r>
      <w:r>
        <w:t xml:space="preserve"> PRRIP Executive Director’s Office.  2018 PRRIP Water Projects Accounting.  Final Memorandum, August 27, 2019.</w:t>
      </w:r>
    </w:p>
  </w:footnote>
  <w:footnote w:id="3">
    <w:p w14:paraId="7551FD29" w14:textId="769DC6D1" w:rsidR="00E510CD" w:rsidRDefault="00E510CD">
      <w:pPr>
        <w:pStyle w:val="FootnoteText"/>
      </w:pPr>
      <w:r>
        <w:rPr>
          <w:rStyle w:val="FootnoteReference"/>
        </w:rPr>
        <w:footnoteRef/>
      </w:r>
      <w:r>
        <w:t xml:space="preserve"> </w:t>
      </w:r>
      <w:r>
        <w:rPr>
          <w:szCs w:val="24"/>
        </w:rPr>
        <w:t xml:space="preserve">Operations accounting is an analysis of what actually happened during real-time project operations (inputs, outputs, water reaching Grand Island, etc.).  Scoring is an analysis for planning purposes to estimate the potential for a Program water project to reduce deficits to USFWS target flows at Grand Island.  </w:t>
      </w:r>
    </w:p>
  </w:footnote>
  <w:footnote w:id="4">
    <w:p w14:paraId="53FC3CEC" w14:textId="73719C2A" w:rsidR="00833DFE" w:rsidRDefault="00833DFE" w:rsidP="00833DFE">
      <w:pPr>
        <w:pStyle w:val="FootnoteText"/>
      </w:pPr>
      <w:r>
        <w:rPr>
          <w:rStyle w:val="FootnoteReference"/>
        </w:rPr>
        <w:footnoteRef/>
      </w:r>
      <w:r>
        <w:t xml:space="preserve"> The calculations actually use the percent reaching Grand Island for a given month and hydrologic condition, based on output from the WMC Loss Model for a specified return location.  The WMC Loss Model was first developed by the Water Management Committee as part of the </w:t>
      </w:r>
      <w:r w:rsidRPr="00AE6223">
        <w:t xml:space="preserve">Water Conservation/Supply Reconnaissance Study </w:t>
      </w:r>
      <w:r>
        <w:t>(Boyle et al. 1999, Chapter 7 and Appendix E), covering the period 1975-1994.  The model period was updated to include 1995-2006 as part of the Water Management Study, Phase I (Boyle 2009).  Use of the WMC Loss Model for routing in WAP project score analyses was approved by the GC in 2010 (GC Meeting Minutes, June 2010).</w:t>
      </w:r>
    </w:p>
  </w:footnote>
  <w:footnote w:id="5">
    <w:p w14:paraId="7FB413D6" w14:textId="77777777" w:rsidR="009B0BD1" w:rsidRDefault="009B0BD1" w:rsidP="009B0BD1">
      <w:pPr>
        <w:pStyle w:val="FootnoteText"/>
      </w:pPr>
      <w:r>
        <w:rPr>
          <w:rStyle w:val="FootnoteReference"/>
        </w:rPr>
        <w:footnoteRef/>
      </w:r>
      <w:r>
        <w:t xml:space="preserve"> Jon Altenhofen, personal email communication, August 29, 2021.</w:t>
      </w:r>
    </w:p>
  </w:footnote>
  <w:footnote w:id="6">
    <w:p w14:paraId="7D6553B7" w14:textId="05A2D69F" w:rsidR="004B2E8D" w:rsidRDefault="004B2E8D">
      <w:pPr>
        <w:pStyle w:val="FootnoteText"/>
      </w:pPr>
      <w:r>
        <w:rPr>
          <w:rStyle w:val="FootnoteReference"/>
        </w:rPr>
        <w:footnoteRef/>
      </w:r>
      <w:r>
        <w:t xml:space="preserve"> WSA expires December 31, 2023.</w:t>
      </w:r>
    </w:p>
  </w:footnote>
  <w:footnote w:id="7">
    <w:p w14:paraId="402D215E" w14:textId="4BB46068" w:rsidR="00FA13FF" w:rsidRDefault="00FA13FF">
      <w:pPr>
        <w:pStyle w:val="FootnoteText"/>
      </w:pPr>
      <w:r>
        <w:rPr>
          <w:rStyle w:val="FootnoteReference"/>
        </w:rPr>
        <w:footnoteRef/>
      </w:r>
      <w:r>
        <w:t xml:space="preserve"> </w:t>
      </w:r>
      <w:r>
        <w:rPr>
          <w:szCs w:val="24"/>
        </w:rPr>
        <w:t>For December 2012 to March 2013 recharge operations, all water used was released from the Lake McConaughy EA under appropriation A-18987, as there were no sustained periods of excess flows during that time.  The 21 AF credited to the Program in September 2020 for Phelps recharge was Lake McConaughy EA water released under appropriation A-19719 for test fill operations of the Cottonwood Ranch broad-scale recharge project and diverted into the Phelps County Canal, but not delivered by pipeline to Cottonwood Ranch.</w:t>
      </w:r>
    </w:p>
  </w:footnote>
  <w:footnote w:id="8">
    <w:p w14:paraId="0954AF15" w14:textId="77777777" w:rsidR="00B14085" w:rsidRDefault="00B14085" w:rsidP="00B14085">
      <w:pPr>
        <w:pStyle w:val="FootnoteText"/>
      </w:pPr>
      <w:r>
        <w:rPr>
          <w:rStyle w:val="FootnoteReference"/>
        </w:rPr>
        <w:footnoteRef/>
      </w:r>
      <w:r>
        <w:t xml:space="preserve"> Phelps County Canal Groundwater Recharge Recommended Score and Scoring Analysis. PRRIP – ED Office Final, November 27, 2013.</w:t>
      </w:r>
    </w:p>
  </w:footnote>
  <w:footnote w:id="9">
    <w:p w14:paraId="3DC2D439" w14:textId="222845D6" w:rsidR="009119E2" w:rsidRDefault="009119E2">
      <w:pPr>
        <w:pStyle w:val="FootnoteText"/>
      </w:pPr>
      <w:r>
        <w:rPr>
          <w:rStyle w:val="FootnoteReference"/>
        </w:rPr>
        <w:footnoteRef/>
      </w:r>
      <w:r>
        <w:t xml:space="preserve"> </w:t>
      </w:r>
      <w:r>
        <w:rPr>
          <w:szCs w:val="24"/>
        </w:rPr>
        <w:t>This step of splitting the accretions was neglected in the previous accounting analysis</w:t>
      </w:r>
      <w:r w:rsidR="005F5D53">
        <w:rPr>
          <w:szCs w:val="24"/>
        </w:rPr>
        <w:t xml:space="preserve"> covering Program water project operations through 2018</w:t>
      </w:r>
      <w:r>
        <w:rPr>
          <w:szCs w:val="24"/>
        </w:rPr>
        <w:t>.  Changes to the results for 2018 and earlier were minimal because total accretions to the river remain the same, and the only differences are in the amounts of the above/below Overton portions reaching Grand Island.  Because of the relatively short river distance separating the two return locations used for routing purposes, those percentages differ by less than 1 for nearly all months and hydrologic conditions.</w:t>
      </w:r>
    </w:p>
  </w:footnote>
  <w:footnote w:id="10">
    <w:p w14:paraId="2DBBF902" w14:textId="2BBDB2D9" w:rsidR="00A66517" w:rsidRDefault="00A66517">
      <w:pPr>
        <w:pStyle w:val="FootnoteText"/>
      </w:pPr>
      <w:r>
        <w:rPr>
          <w:rStyle w:val="FootnoteReference"/>
        </w:rPr>
        <w:footnoteRef/>
      </w:r>
      <w:r>
        <w:t xml:space="preserve"> Exact calculated values are shown in this comparison because rounded values would imply greater differences.</w:t>
      </w:r>
    </w:p>
  </w:footnote>
  <w:footnote w:id="11">
    <w:p w14:paraId="0F673CAC" w14:textId="5818E339" w:rsidR="004B2E8D" w:rsidRDefault="004B2E8D">
      <w:pPr>
        <w:pStyle w:val="FootnoteText"/>
      </w:pPr>
      <w:r>
        <w:rPr>
          <w:rStyle w:val="FootnoteReference"/>
        </w:rPr>
        <w:footnoteRef/>
      </w:r>
      <w:r>
        <w:t xml:space="preserve"> WSA expires December 31, 2023.</w:t>
      </w:r>
    </w:p>
  </w:footnote>
  <w:footnote w:id="12">
    <w:p w14:paraId="3592B76A" w14:textId="7C0F8D4C" w:rsidR="00011A63" w:rsidRDefault="00011A63">
      <w:pPr>
        <w:pStyle w:val="FootnoteText"/>
      </w:pPr>
      <w:r>
        <w:rPr>
          <w:rStyle w:val="FootnoteReference"/>
        </w:rPr>
        <w:footnoteRef/>
      </w:r>
      <w:r>
        <w:t xml:space="preserve"> Excess flows were not diverted and pumped into Elwood for recharge for the Program until March 15-24, 2021</w:t>
      </w:r>
      <w:r w:rsidR="00F9358D">
        <w:t>, nearly 18 months after pumping into Elwood for recharge last ended on September 28, 2019</w:t>
      </w:r>
      <w:r>
        <w:t>.</w:t>
      </w:r>
    </w:p>
  </w:footnote>
  <w:footnote w:id="13">
    <w:p w14:paraId="0D7E87AF" w14:textId="77777777" w:rsidR="005E6CBC" w:rsidRDefault="005E6CBC" w:rsidP="005E6CBC">
      <w:pPr>
        <w:pStyle w:val="FootnoteText"/>
      </w:pPr>
      <w:r>
        <w:rPr>
          <w:rStyle w:val="FootnoteReference"/>
        </w:rPr>
        <w:footnoteRef/>
      </w:r>
      <w:r>
        <w:t xml:space="preserve"> Elwood Reservoir Groundwater Recharge Scoring Analysis.  PRRIP Executive Director’s Office, September 17, 2019.</w:t>
      </w:r>
    </w:p>
  </w:footnote>
  <w:footnote w:id="14">
    <w:p w14:paraId="7714C373" w14:textId="5BA09F75" w:rsidR="000E152E" w:rsidRDefault="000E152E">
      <w:pPr>
        <w:pStyle w:val="FootnoteText"/>
      </w:pPr>
      <w:r>
        <w:rPr>
          <w:rStyle w:val="FootnoteReference"/>
        </w:rPr>
        <w:footnoteRef/>
      </w:r>
      <w:r>
        <w:t xml:space="preserve"> </w:t>
      </w:r>
      <w:r w:rsidR="00757A67">
        <w:t xml:space="preserve">In March 2015, </w:t>
      </w:r>
      <w:r>
        <w:t xml:space="preserve">NDNR </w:t>
      </w:r>
      <w:r w:rsidR="00B1182D">
        <w:t>approved permits (priority date June 5, 2012)</w:t>
      </w:r>
      <w:r>
        <w:t xml:space="preserve"> to divert excess flows for groundwater recharge in </w:t>
      </w:r>
      <w:r w:rsidR="00B1182D">
        <w:t xml:space="preserve">each of </w:t>
      </w:r>
      <w:r>
        <w:t>the three CPNRD canals.</w:t>
      </w:r>
      <w:r w:rsidR="00757A67">
        <w:t xml:space="preserve">  </w:t>
      </w:r>
      <w:r w:rsidR="00B1182D">
        <w:t xml:space="preserve">Perfection of the appropriations was contingent on beneficially using water for the stated purpose by September 1, 2019, a requirement that was satisfied.  Consequently, CPNRD recharge does not have to operate under a succession of temporary annual permits, as is the case with CNPPID and NPPD recharge projects for the Program. </w:t>
      </w:r>
      <w:r w:rsidR="00757A67">
        <w:t xml:space="preserve"> </w:t>
      </w:r>
    </w:p>
  </w:footnote>
  <w:footnote w:id="15">
    <w:p w14:paraId="18D1B451" w14:textId="14EC446A" w:rsidR="00FB403D" w:rsidRDefault="00FB403D">
      <w:pPr>
        <w:pStyle w:val="FootnoteText"/>
      </w:pPr>
      <w:r>
        <w:rPr>
          <w:rStyle w:val="FootnoteReference"/>
        </w:rPr>
        <w:footnoteRef/>
      </w:r>
      <w:r>
        <w:t xml:space="preserve"> WSA expires December 31, 2024.</w:t>
      </w:r>
    </w:p>
  </w:footnote>
  <w:footnote w:id="16">
    <w:p w14:paraId="0764F707" w14:textId="77777777" w:rsidR="001D4C5C" w:rsidRDefault="001D4C5C" w:rsidP="001D4C5C">
      <w:pPr>
        <w:pStyle w:val="FootnoteText"/>
      </w:pPr>
      <w:r>
        <w:rPr>
          <w:rStyle w:val="FootnoteReference"/>
        </w:rPr>
        <w:footnoteRef/>
      </w:r>
      <w:r>
        <w:t xml:space="preserve"> WSA expires December 31, 2025.</w:t>
      </w:r>
    </w:p>
  </w:footnote>
  <w:footnote w:id="17">
    <w:p w14:paraId="64FB808D" w14:textId="231857D3" w:rsidR="007E5755" w:rsidRDefault="007E5755">
      <w:pPr>
        <w:pStyle w:val="FootnoteText"/>
      </w:pPr>
      <w:r>
        <w:rPr>
          <w:rStyle w:val="FootnoteReference"/>
        </w:rPr>
        <w:footnoteRef/>
      </w:r>
      <w:r>
        <w:t xml:space="preserve"> Per minutes of the November 2, 2016 GC Special Session, discussion at the time the WSA was approved indicated understanding that billing was to be on a net recharge basis: “Kenny said…wasteway returns are subtracted [from diversions] so it is in effect recharge we are paying for.  Barels confirmed that explanation.”</w:t>
      </w:r>
    </w:p>
  </w:footnote>
  <w:footnote w:id="18">
    <w:p w14:paraId="7AA42611" w14:textId="49C39472" w:rsidR="00CE13C9" w:rsidRDefault="00CE13C9">
      <w:pPr>
        <w:pStyle w:val="FootnoteText"/>
      </w:pPr>
      <w:r>
        <w:rPr>
          <w:rStyle w:val="FootnoteReference"/>
        </w:rPr>
        <w:footnoteRef/>
      </w:r>
      <w:r>
        <w:t xml:space="preserve"> </w:t>
      </w:r>
      <w:hyperlink r:id="rId1" w:history="1">
        <w:r w:rsidRPr="00C14D47">
          <w:rPr>
            <w:rStyle w:val="Hyperlink"/>
          </w:rPr>
          <w:t>https://nednr.nebraska.gov/pwapweb/</w:t>
        </w:r>
      </w:hyperlink>
      <w:r>
        <w:t xml:space="preserve"> </w:t>
      </w:r>
    </w:p>
  </w:footnote>
  <w:footnote w:id="19">
    <w:p w14:paraId="2738C4EC" w14:textId="25081307" w:rsidR="00EC5F19" w:rsidRDefault="00EC5F19" w:rsidP="00EC5F19">
      <w:pPr>
        <w:pStyle w:val="FootnoteText"/>
      </w:pPr>
      <w:r>
        <w:rPr>
          <w:rStyle w:val="FootnoteReference"/>
        </w:rPr>
        <w:footnoteRef/>
      </w:r>
      <w:r>
        <w:t xml:space="preserve"> The Pathfinder Municipal Account was also created as part of the Pathfinder Modification Project and has a capacity of 20,000 AF.</w:t>
      </w:r>
    </w:p>
  </w:footnote>
  <w:footnote w:id="20">
    <w:p w14:paraId="67F55B34" w14:textId="6487240D" w:rsidR="00B40AB9" w:rsidRDefault="00B40AB9">
      <w:pPr>
        <w:pStyle w:val="FootnoteText"/>
      </w:pPr>
      <w:r>
        <w:rPr>
          <w:rStyle w:val="FootnoteReference"/>
        </w:rPr>
        <w:footnoteRef/>
      </w:r>
      <w:r>
        <w:t xml:space="preserve"> The water use lease agreement was first amended effective January 1, 2017 to modify the rate structure for surface water transfers and groundwater accretions.</w:t>
      </w:r>
    </w:p>
  </w:footnote>
  <w:footnote w:id="21">
    <w:p w14:paraId="370F177D" w14:textId="6795C54D" w:rsidR="00B40AB9" w:rsidRDefault="00B40AB9">
      <w:pPr>
        <w:pStyle w:val="FootnoteText"/>
      </w:pPr>
      <w:r>
        <w:rPr>
          <w:rStyle w:val="FootnoteReference"/>
        </w:rPr>
        <w:footnoteRef/>
      </w:r>
      <w:r>
        <w:t xml:space="preserve"> The terms of the lease agreement specify that “CPNRD shall provide a minimum of fifty percent of all available water returned to the Platte River for instream use to the [Program]” but “CPNRD does not guarantee any minimum amount of stream flow augmentation through Transferred Surface Water or Ground Water Recharge.”</w:t>
      </w:r>
    </w:p>
  </w:footnote>
  <w:footnote w:id="22">
    <w:p w14:paraId="2A1BD8C8" w14:textId="77777777" w:rsidR="00C86A16" w:rsidRDefault="00C86A16" w:rsidP="00C86A16">
      <w:pPr>
        <w:pStyle w:val="FootnoteText"/>
      </w:pPr>
      <w:r>
        <w:rPr>
          <w:rStyle w:val="FootnoteReference"/>
        </w:rPr>
        <w:footnoteRef/>
      </w:r>
      <w:r>
        <w:t xml:space="preserve"> Based on analysis of available data, CPNRD recorded 67 days during the 2015 irrigation season on which at least one of the three canals was making river returns of transferred surface water.  There were real-time target flow shortages at Grand Island on only 14 of those days (21%).  CPNRD spreadsheets from 2016 show 71 days with surface water returns, and 23 of those days (32%) had shortages.  Of the gross water volumes returned to the river from the CPNRD canals before adjusting for groundwater pumping depletions, approximately 17% (2015) and 39% (2016) occurred on those days with shortages at Grand Island.  </w:t>
      </w:r>
      <w:r w:rsidRPr="00042141">
        <w:t>The EDO does not have this data for 2017.</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DCA041" w14:textId="781B4754" w:rsidR="003E0911" w:rsidRDefault="00874824" w:rsidP="003E0911">
    <w:pPr>
      <w:pStyle w:val="Header"/>
      <w:tabs>
        <w:tab w:val="left" w:pos="8190"/>
      </w:tabs>
      <w:rPr>
        <w:b/>
      </w:rPr>
    </w:pPr>
    <w:sdt>
      <w:sdtPr>
        <w:rPr>
          <w:b/>
        </w:rPr>
        <w:id w:val="1083191996"/>
        <w:docPartObj>
          <w:docPartGallery w:val="Watermarks"/>
          <w:docPartUnique/>
        </w:docPartObj>
      </w:sdtPr>
      <w:sdtEndPr/>
      <w:sdtContent>
        <w:r>
          <w:rPr>
            <w:b/>
            <w:noProof/>
          </w:rPr>
          <w:pict w14:anchorId="2B39897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1025" type="#_x0000_t136" style="position:absolute;margin-left:0;margin-top:0;width:412.4pt;height:247.45pt;rotation:315;z-index:-25165772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3E0911">
      <w:rPr>
        <w:b/>
        <w:noProof/>
      </w:rPr>
      <mc:AlternateContent>
        <mc:Choice Requires="wps">
          <w:drawing>
            <wp:anchor distT="0" distB="0" distL="114300" distR="114300" simplePos="0" relativeHeight="251656704" behindDoc="0" locked="0" layoutInCell="1" allowOverlap="1" wp14:anchorId="182C4EBC" wp14:editId="76D5522B">
              <wp:simplePos x="0" y="0"/>
              <wp:positionH relativeFrom="column">
                <wp:posOffset>0</wp:posOffset>
              </wp:positionH>
              <wp:positionV relativeFrom="paragraph">
                <wp:posOffset>440055</wp:posOffset>
              </wp:positionV>
              <wp:extent cx="2743200" cy="0"/>
              <wp:effectExtent l="9525" t="11430" r="9525" b="762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7432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5C5F927" id="_x0000_t32" coordsize="21600,21600" o:spt="32" o:oned="t" path="m,l21600,21600e" filled="f">
              <v:path arrowok="t" fillok="f" o:connecttype="none"/>
              <o:lock v:ext="edit" shapetype="t"/>
            </v:shapetype>
            <v:shape id="AutoShape 1" o:spid="_x0000_s1026" type="#_x0000_t32" style="position:absolute;margin-left:0;margin-top:34.65pt;width:3in;height:0;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"/>
          </w:pict>
        </mc:Fallback>
      </mc:AlternateContent>
    </w:r>
    <w:r w:rsidR="003E0911">
      <w:rPr>
        <w:b/>
        <w:noProof/>
      </w:rPr>
      <mc:AlternateContent>
        <mc:Choice Requires="wps">
          <w:drawing>
            <wp:anchor distT="0" distB="0" distL="114300" distR="114300" simplePos="0" relativeHeight="251657728" behindDoc="0" locked="0" layoutInCell="1" allowOverlap="1" wp14:anchorId="70BE2D96" wp14:editId="4AE7B7F8">
              <wp:simplePos x="0" y="0"/>
              <wp:positionH relativeFrom="column">
                <wp:posOffset>3200400</wp:posOffset>
              </wp:positionH>
              <wp:positionV relativeFrom="paragraph">
                <wp:posOffset>437515</wp:posOffset>
              </wp:positionV>
              <wp:extent cx="2743200" cy="0"/>
              <wp:effectExtent l="9525" t="8890" r="9525" b="10160"/>
              <wp:wrapNone/>
              <wp:docPr id="2"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7432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DAB0885" id="AutoShape 2" o:spid="_x0000_s1026" type="#_x0000_t32" style="position:absolute;margin-left:252pt;margin-top:34.45pt;width:3in;height:0;flip:x;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"/>
          </w:pict>
        </mc:Fallback>
      </mc:AlternateContent>
    </w:r>
    <w:r w:rsidR="003E0911" w:rsidRPr="005268A3">
      <w:rPr>
        <w:b/>
      </w:rPr>
      <w:t>PRRIP – ED</w:t>
    </w:r>
    <w:r w:rsidR="003E0911">
      <w:rPr>
        <w:b/>
      </w:rPr>
      <w:t>O</w:t>
    </w:r>
    <w:r w:rsidR="003E0911" w:rsidRPr="005268A3">
      <w:rPr>
        <w:b/>
      </w:rPr>
      <w:t xml:space="preserve"> </w:t>
    </w:r>
    <w:r w:rsidR="003E0911">
      <w:rPr>
        <w:b/>
      </w:rPr>
      <w:t>DRAFT</w:t>
    </w:r>
    <w:r w:rsidR="003E0911" w:rsidRPr="005268A3">
      <w:tab/>
    </w:r>
    <w:r w:rsidR="003E0911">
      <w:rPr>
        <w:noProof/>
      </w:rPr>
      <w:drawing>
        <wp:inline distT="0" distB="0" distL="0" distR="0" wp14:anchorId="36899543" wp14:editId="573001F5">
          <wp:extent cx="478155" cy="644525"/>
          <wp:effectExtent l="0" t="0" r="0" b="0"/>
          <wp:docPr id="8" name="Picture 8" descr="Final_Black_Platte_Logo_Powerpoi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inal_Black_Platte_Logo_Powerpoint.png"/>
                  <pic:cNvPicPr>
                    <a:picLocks noChangeAspect="1" noChangeArrowheads="1"/>
                  </pic:cNvPicPr>
                </pic:nvPicPr>
                <pic:blipFill>
                  <a:blip r:embed="rId1"/>
                  <a:srcRect/>
                  <a:stretch>
                    <a:fillRect/>
                  </a:stretch>
                </pic:blipFill>
                <pic:spPr bwMode="auto">
                  <a:xfrm>
                    <a:off x="0" y="0"/>
                    <a:ext cx="478155" cy="644525"/>
                  </a:xfrm>
                  <a:prstGeom prst="rect">
                    <a:avLst/>
                  </a:prstGeom>
                  <a:noFill/>
                  <a:ln w="9525">
                    <a:noFill/>
                    <a:miter lim="800000"/>
                    <a:headEnd/>
                    <a:tailEnd/>
                  </a:ln>
                </pic:spPr>
              </pic:pic>
            </a:graphicData>
          </a:graphic>
        </wp:inline>
      </w:drawing>
    </w:r>
    <w:r w:rsidR="003E0911" w:rsidRPr="005268A3">
      <w:tab/>
    </w:r>
    <w:r w:rsidR="003E0911">
      <w:t xml:space="preserve"> </w:t>
    </w:r>
    <w:r w:rsidR="003E0911">
      <w:rPr>
        <w:b/>
      </w:rPr>
      <w:t>10/</w:t>
    </w:r>
    <w:r w:rsidR="00F27CA0">
      <w:rPr>
        <w:b/>
      </w:rPr>
      <w:t>22</w:t>
    </w:r>
    <w:r w:rsidR="003E0911">
      <w:rPr>
        <w:b/>
      </w:rPr>
      <w:t>/2021</w:t>
    </w:r>
  </w:p>
  <w:p w14:paraId="263E9D9D" w14:textId="77777777" w:rsidR="003E0911" w:rsidRDefault="003E0911" w:rsidP="003E0911">
    <w:pPr>
      <w:pStyle w:val="Header"/>
      <w:tabs>
        <w:tab w:val="left" w:pos="8190"/>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316EE8"/>
    <w:multiLevelType w:val="hybridMultilevel"/>
    <w:tmpl w:val="F97E06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5A66B67"/>
    <w:multiLevelType w:val="hybridMultilevel"/>
    <w:tmpl w:val="17963A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6FB0D18"/>
    <w:multiLevelType w:val="hybridMultilevel"/>
    <w:tmpl w:val="2C307A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08E4D60"/>
    <w:multiLevelType w:val="hybridMultilevel"/>
    <w:tmpl w:val="30B01CC6"/>
    <w:lvl w:ilvl="0" w:tplc="04090001">
      <w:start w:val="1"/>
      <w:numFmt w:val="bullet"/>
      <w:lvlText w:val=""/>
      <w:lvlJc w:val="left"/>
      <w:pPr>
        <w:ind w:left="960" w:hanging="360"/>
      </w:pPr>
      <w:rPr>
        <w:rFonts w:ascii="Symbol" w:hAnsi="Symbol" w:hint="default"/>
      </w:rPr>
    </w:lvl>
    <w:lvl w:ilvl="1" w:tplc="04090003" w:tentative="1">
      <w:start w:val="1"/>
      <w:numFmt w:val="bullet"/>
      <w:lvlText w:val="o"/>
      <w:lvlJc w:val="left"/>
      <w:pPr>
        <w:ind w:left="1680" w:hanging="360"/>
      </w:pPr>
      <w:rPr>
        <w:rFonts w:ascii="Courier New" w:hAnsi="Courier New" w:cs="Courier New" w:hint="default"/>
      </w:rPr>
    </w:lvl>
    <w:lvl w:ilvl="2" w:tplc="04090005" w:tentative="1">
      <w:start w:val="1"/>
      <w:numFmt w:val="bullet"/>
      <w:lvlText w:val=""/>
      <w:lvlJc w:val="left"/>
      <w:pPr>
        <w:ind w:left="2400" w:hanging="360"/>
      </w:pPr>
      <w:rPr>
        <w:rFonts w:ascii="Wingdings" w:hAnsi="Wingdings" w:hint="default"/>
      </w:rPr>
    </w:lvl>
    <w:lvl w:ilvl="3" w:tplc="04090001" w:tentative="1">
      <w:start w:val="1"/>
      <w:numFmt w:val="bullet"/>
      <w:lvlText w:val=""/>
      <w:lvlJc w:val="left"/>
      <w:pPr>
        <w:ind w:left="3120" w:hanging="360"/>
      </w:pPr>
      <w:rPr>
        <w:rFonts w:ascii="Symbol" w:hAnsi="Symbol" w:hint="default"/>
      </w:rPr>
    </w:lvl>
    <w:lvl w:ilvl="4" w:tplc="04090003" w:tentative="1">
      <w:start w:val="1"/>
      <w:numFmt w:val="bullet"/>
      <w:lvlText w:val="o"/>
      <w:lvlJc w:val="left"/>
      <w:pPr>
        <w:ind w:left="3840" w:hanging="360"/>
      </w:pPr>
      <w:rPr>
        <w:rFonts w:ascii="Courier New" w:hAnsi="Courier New" w:cs="Courier New" w:hint="default"/>
      </w:rPr>
    </w:lvl>
    <w:lvl w:ilvl="5" w:tplc="04090005" w:tentative="1">
      <w:start w:val="1"/>
      <w:numFmt w:val="bullet"/>
      <w:lvlText w:val=""/>
      <w:lvlJc w:val="left"/>
      <w:pPr>
        <w:ind w:left="4560" w:hanging="360"/>
      </w:pPr>
      <w:rPr>
        <w:rFonts w:ascii="Wingdings" w:hAnsi="Wingdings" w:hint="default"/>
      </w:rPr>
    </w:lvl>
    <w:lvl w:ilvl="6" w:tplc="04090001" w:tentative="1">
      <w:start w:val="1"/>
      <w:numFmt w:val="bullet"/>
      <w:lvlText w:val=""/>
      <w:lvlJc w:val="left"/>
      <w:pPr>
        <w:ind w:left="5280" w:hanging="360"/>
      </w:pPr>
      <w:rPr>
        <w:rFonts w:ascii="Symbol" w:hAnsi="Symbol" w:hint="default"/>
      </w:rPr>
    </w:lvl>
    <w:lvl w:ilvl="7" w:tplc="04090003" w:tentative="1">
      <w:start w:val="1"/>
      <w:numFmt w:val="bullet"/>
      <w:lvlText w:val="o"/>
      <w:lvlJc w:val="left"/>
      <w:pPr>
        <w:ind w:left="6000" w:hanging="360"/>
      </w:pPr>
      <w:rPr>
        <w:rFonts w:ascii="Courier New" w:hAnsi="Courier New" w:cs="Courier New" w:hint="default"/>
      </w:rPr>
    </w:lvl>
    <w:lvl w:ilvl="8" w:tplc="04090005" w:tentative="1">
      <w:start w:val="1"/>
      <w:numFmt w:val="bullet"/>
      <w:lvlText w:val=""/>
      <w:lvlJc w:val="left"/>
      <w:pPr>
        <w:ind w:left="6720" w:hanging="360"/>
      </w:pPr>
      <w:rPr>
        <w:rFonts w:ascii="Wingdings" w:hAnsi="Wingdings" w:hint="default"/>
      </w:rPr>
    </w:lvl>
  </w:abstractNum>
  <w:abstractNum w:abstractNumId="4" w15:restartNumberingAfterBreak="0">
    <w:nsid w:val="1D6E2ED2"/>
    <w:multiLevelType w:val="hybridMultilevel"/>
    <w:tmpl w:val="53E85D76"/>
    <w:lvl w:ilvl="0" w:tplc="04090015">
      <w:start w:val="1"/>
      <w:numFmt w:val="upperLetter"/>
      <w:lvlText w:val="%1."/>
      <w:lvlJc w:val="left"/>
      <w:pPr>
        <w:ind w:left="360" w:hanging="360"/>
      </w:pPr>
      <w:rPr>
        <w:rFonts w:hint="default"/>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1F3C74CA"/>
    <w:multiLevelType w:val="hybridMultilevel"/>
    <w:tmpl w:val="6E4A67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03A7F4E"/>
    <w:multiLevelType w:val="hybridMultilevel"/>
    <w:tmpl w:val="9BB63BBA"/>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42E1ED8"/>
    <w:multiLevelType w:val="hybridMultilevel"/>
    <w:tmpl w:val="E95E786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 w15:restartNumberingAfterBreak="0">
    <w:nsid w:val="2601371A"/>
    <w:multiLevelType w:val="hybridMultilevel"/>
    <w:tmpl w:val="3862831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9" w15:restartNumberingAfterBreak="0">
    <w:nsid w:val="28D51BAF"/>
    <w:multiLevelType w:val="hybridMultilevel"/>
    <w:tmpl w:val="C0BC74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91F4419"/>
    <w:multiLevelType w:val="hybridMultilevel"/>
    <w:tmpl w:val="6CC8D0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DD1633C"/>
    <w:multiLevelType w:val="hybridMultilevel"/>
    <w:tmpl w:val="9AB0C2CE"/>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2" w15:restartNumberingAfterBreak="0">
    <w:nsid w:val="39A23008"/>
    <w:multiLevelType w:val="hybridMultilevel"/>
    <w:tmpl w:val="4F5E2094"/>
    <w:lvl w:ilvl="0" w:tplc="441EB83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C5078CB"/>
    <w:multiLevelType w:val="hybridMultilevel"/>
    <w:tmpl w:val="B89CF2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D650B81"/>
    <w:multiLevelType w:val="hybridMultilevel"/>
    <w:tmpl w:val="0FE06BF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1DF386D"/>
    <w:multiLevelType w:val="hybridMultilevel"/>
    <w:tmpl w:val="DEBA1DA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53B32ED"/>
    <w:multiLevelType w:val="hybridMultilevel"/>
    <w:tmpl w:val="6A524C46"/>
    <w:lvl w:ilvl="0" w:tplc="DE5ABA1C">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6A3279C"/>
    <w:multiLevelType w:val="hybridMultilevel"/>
    <w:tmpl w:val="B114E9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0923B0F"/>
    <w:multiLevelType w:val="hybridMultilevel"/>
    <w:tmpl w:val="6A328C5E"/>
    <w:lvl w:ilvl="0" w:tplc="04090013">
      <w:start w:val="1"/>
      <w:numFmt w:val="upperRoman"/>
      <w:lvlText w:val="%1."/>
      <w:lvlJc w:val="righ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32C0A87"/>
    <w:multiLevelType w:val="hybridMultilevel"/>
    <w:tmpl w:val="403805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70A5F14"/>
    <w:multiLevelType w:val="hybridMultilevel"/>
    <w:tmpl w:val="8CFE70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B64460D"/>
    <w:multiLevelType w:val="hybridMultilevel"/>
    <w:tmpl w:val="2716CD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D12356C"/>
    <w:multiLevelType w:val="hybridMultilevel"/>
    <w:tmpl w:val="53E85D76"/>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DBC424B"/>
    <w:multiLevelType w:val="hybridMultilevel"/>
    <w:tmpl w:val="F6AEF9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63438AF"/>
    <w:multiLevelType w:val="hybridMultilevel"/>
    <w:tmpl w:val="84EE0DE2"/>
    <w:lvl w:ilvl="0" w:tplc="DB5E376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66C61449"/>
    <w:multiLevelType w:val="hybridMultilevel"/>
    <w:tmpl w:val="BB58D1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2D47975"/>
    <w:multiLevelType w:val="hybridMultilevel"/>
    <w:tmpl w:val="913E9A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8"/>
  </w:num>
  <w:num w:numId="2">
    <w:abstractNumId w:val="6"/>
  </w:num>
  <w:num w:numId="3">
    <w:abstractNumId w:val="22"/>
  </w:num>
  <w:num w:numId="4">
    <w:abstractNumId w:val="4"/>
  </w:num>
  <w:num w:numId="5">
    <w:abstractNumId w:val="13"/>
  </w:num>
  <w:num w:numId="6">
    <w:abstractNumId w:val="9"/>
  </w:num>
  <w:num w:numId="7">
    <w:abstractNumId w:val="17"/>
  </w:num>
  <w:num w:numId="8">
    <w:abstractNumId w:val="21"/>
  </w:num>
  <w:num w:numId="9">
    <w:abstractNumId w:val="19"/>
  </w:num>
  <w:num w:numId="10">
    <w:abstractNumId w:val="26"/>
  </w:num>
  <w:num w:numId="11">
    <w:abstractNumId w:val="12"/>
  </w:num>
  <w:num w:numId="12">
    <w:abstractNumId w:val="7"/>
  </w:num>
  <w:num w:numId="13">
    <w:abstractNumId w:val="16"/>
  </w:num>
  <w:num w:numId="14">
    <w:abstractNumId w:val="3"/>
  </w:num>
  <w:num w:numId="15">
    <w:abstractNumId w:val="14"/>
  </w:num>
  <w:num w:numId="16">
    <w:abstractNumId w:val="15"/>
  </w:num>
  <w:num w:numId="17">
    <w:abstractNumId w:val="8"/>
  </w:num>
  <w:num w:numId="18">
    <w:abstractNumId w:val="10"/>
  </w:num>
  <w:num w:numId="19">
    <w:abstractNumId w:val="23"/>
  </w:num>
  <w:num w:numId="20">
    <w:abstractNumId w:val="2"/>
  </w:num>
  <w:num w:numId="21">
    <w:abstractNumId w:val="5"/>
  </w:num>
  <w:num w:numId="22">
    <w:abstractNumId w:val="25"/>
  </w:num>
  <w:num w:numId="23">
    <w:abstractNumId w:val="24"/>
  </w:num>
  <w:num w:numId="24">
    <w:abstractNumId w:val="11"/>
  </w:num>
  <w:num w:numId="25">
    <w:abstractNumId w:val="1"/>
  </w:num>
  <w:num w:numId="26">
    <w:abstractNumId w:val="0"/>
  </w:num>
  <w:num w:numId="27">
    <w:abstractNumId w:val="20"/>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20"/>
  <w:drawingGridHorizontalSpacing w:val="110"/>
  <w:displayHorizontalDrawingGridEvery w:val="2"/>
  <w:characterSpacingControl w:val="doNotCompress"/>
  <w:hdrShapeDefaults>
    <o:shapedefaults v:ext="edit" spidmax="2050" style="mso-width-relative:margin;mso-height-relative:margin" fillcolor="white" stroke="f" strokecolor="none [3212]">
      <v:fill color="white"/>
      <v:stroke color="none [3212]" on="f"/>
    </o:shapedefaults>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7562"/>
    <w:rsid w:val="00000A84"/>
    <w:rsid w:val="000010E1"/>
    <w:rsid w:val="00001C2D"/>
    <w:rsid w:val="00002572"/>
    <w:rsid w:val="000028CE"/>
    <w:rsid w:val="00002ECE"/>
    <w:rsid w:val="0000380E"/>
    <w:rsid w:val="00003CB8"/>
    <w:rsid w:val="00003E07"/>
    <w:rsid w:val="00004C8C"/>
    <w:rsid w:val="000051E8"/>
    <w:rsid w:val="00006816"/>
    <w:rsid w:val="00006DD0"/>
    <w:rsid w:val="00006DE0"/>
    <w:rsid w:val="0000740D"/>
    <w:rsid w:val="000075FF"/>
    <w:rsid w:val="0000784C"/>
    <w:rsid w:val="00007857"/>
    <w:rsid w:val="00011A63"/>
    <w:rsid w:val="00011AED"/>
    <w:rsid w:val="00012225"/>
    <w:rsid w:val="0001264D"/>
    <w:rsid w:val="00012D71"/>
    <w:rsid w:val="00013CFC"/>
    <w:rsid w:val="000145FC"/>
    <w:rsid w:val="000151DF"/>
    <w:rsid w:val="0001529E"/>
    <w:rsid w:val="000153A9"/>
    <w:rsid w:val="00015690"/>
    <w:rsid w:val="000166ED"/>
    <w:rsid w:val="00017F27"/>
    <w:rsid w:val="0002179A"/>
    <w:rsid w:val="00021E49"/>
    <w:rsid w:val="00022324"/>
    <w:rsid w:val="00022872"/>
    <w:rsid w:val="00022F57"/>
    <w:rsid w:val="0002425D"/>
    <w:rsid w:val="00024B0D"/>
    <w:rsid w:val="00024C0E"/>
    <w:rsid w:val="00024E90"/>
    <w:rsid w:val="00024EB5"/>
    <w:rsid w:val="00025844"/>
    <w:rsid w:val="00027866"/>
    <w:rsid w:val="00027B38"/>
    <w:rsid w:val="000302DF"/>
    <w:rsid w:val="00030302"/>
    <w:rsid w:val="0003141C"/>
    <w:rsid w:val="00032847"/>
    <w:rsid w:val="00032C1A"/>
    <w:rsid w:val="00033E35"/>
    <w:rsid w:val="00034366"/>
    <w:rsid w:val="00034AA6"/>
    <w:rsid w:val="00036455"/>
    <w:rsid w:val="00036470"/>
    <w:rsid w:val="00036511"/>
    <w:rsid w:val="0003664B"/>
    <w:rsid w:val="00036D83"/>
    <w:rsid w:val="00037718"/>
    <w:rsid w:val="00040408"/>
    <w:rsid w:val="00040EDE"/>
    <w:rsid w:val="00040FF7"/>
    <w:rsid w:val="0004101D"/>
    <w:rsid w:val="00042760"/>
    <w:rsid w:val="000434EA"/>
    <w:rsid w:val="0004366A"/>
    <w:rsid w:val="000442D0"/>
    <w:rsid w:val="000453D3"/>
    <w:rsid w:val="00045635"/>
    <w:rsid w:val="00046C41"/>
    <w:rsid w:val="00046F75"/>
    <w:rsid w:val="00047E79"/>
    <w:rsid w:val="00047EE0"/>
    <w:rsid w:val="00050349"/>
    <w:rsid w:val="00050609"/>
    <w:rsid w:val="0005089C"/>
    <w:rsid w:val="00050C25"/>
    <w:rsid w:val="0005161E"/>
    <w:rsid w:val="00051744"/>
    <w:rsid w:val="000527F0"/>
    <w:rsid w:val="00052EFD"/>
    <w:rsid w:val="00052FA2"/>
    <w:rsid w:val="000538BE"/>
    <w:rsid w:val="00053A58"/>
    <w:rsid w:val="000551A3"/>
    <w:rsid w:val="0005691A"/>
    <w:rsid w:val="000569CB"/>
    <w:rsid w:val="00056BCB"/>
    <w:rsid w:val="00062AD6"/>
    <w:rsid w:val="00062E3E"/>
    <w:rsid w:val="00063D6E"/>
    <w:rsid w:val="000659A9"/>
    <w:rsid w:val="000669BD"/>
    <w:rsid w:val="00066A8B"/>
    <w:rsid w:val="0007068D"/>
    <w:rsid w:val="00070F5B"/>
    <w:rsid w:val="0007128A"/>
    <w:rsid w:val="000714FF"/>
    <w:rsid w:val="00072809"/>
    <w:rsid w:val="000731A5"/>
    <w:rsid w:val="0007347D"/>
    <w:rsid w:val="0007369A"/>
    <w:rsid w:val="00073E2C"/>
    <w:rsid w:val="00073F9D"/>
    <w:rsid w:val="00074756"/>
    <w:rsid w:val="00074BE3"/>
    <w:rsid w:val="00076153"/>
    <w:rsid w:val="000774C9"/>
    <w:rsid w:val="00077D80"/>
    <w:rsid w:val="0008073F"/>
    <w:rsid w:val="00080876"/>
    <w:rsid w:val="00080E4C"/>
    <w:rsid w:val="0008223C"/>
    <w:rsid w:val="00082A91"/>
    <w:rsid w:val="00082D25"/>
    <w:rsid w:val="0008404E"/>
    <w:rsid w:val="00086AC4"/>
    <w:rsid w:val="00087BC6"/>
    <w:rsid w:val="00087BF0"/>
    <w:rsid w:val="00091E37"/>
    <w:rsid w:val="00092C5A"/>
    <w:rsid w:val="00092DA1"/>
    <w:rsid w:val="00092FE1"/>
    <w:rsid w:val="00093AE0"/>
    <w:rsid w:val="000940A5"/>
    <w:rsid w:val="00094644"/>
    <w:rsid w:val="000950BA"/>
    <w:rsid w:val="00096233"/>
    <w:rsid w:val="00097257"/>
    <w:rsid w:val="000972AC"/>
    <w:rsid w:val="0009776D"/>
    <w:rsid w:val="000A1901"/>
    <w:rsid w:val="000A1983"/>
    <w:rsid w:val="000A1C4A"/>
    <w:rsid w:val="000A222C"/>
    <w:rsid w:val="000A2270"/>
    <w:rsid w:val="000A26BB"/>
    <w:rsid w:val="000A328B"/>
    <w:rsid w:val="000A3D40"/>
    <w:rsid w:val="000A4853"/>
    <w:rsid w:val="000A4B4C"/>
    <w:rsid w:val="000A4BE0"/>
    <w:rsid w:val="000A4F75"/>
    <w:rsid w:val="000A50E5"/>
    <w:rsid w:val="000A5381"/>
    <w:rsid w:val="000A6505"/>
    <w:rsid w:val="000A69F0"/>
    <w:rsid w:val="000A6A07"/>
    <w:rsid w:val="000A6E67"/>
    <w:rsid w:val="000A768F"/>
    <w:rsid w:val="000B00D3"/>
    <w:rsid w:val="000B1B07"/>
    <w:rsid w:val="000B2C7F"/>
    <w:rsid w:val="000B306A"/>
    <w:rsid w:val="000B581E"/>
    <w:rsid w:val="000B5F2B"/>
    <w:rsid w:val="000B64E0"/>
    <w:rsid w:val="000B654A"/>
    <w:rsid w:val="000B6670"/>
    <w:rsid w:val="000B7052"/>
    <w:rsid w:val="000B713F"/>
    <w:rsid w:val="000C0342"/>
    <w:rsid w:val="000C0933"/>
    <w:rsid w:val="000C0E9E"/>
    <w:rsid w:val="000C19EA"/>
    <w:rsid w:val="000C25D3"/>
    <w:rsid w:val="000C33AE"/>
    <w:rsid w:val="000C3427"/>
    <w:rsid w:val="000C35F4"/>
    <w:rsid w:val="000C4F34"/>
    <w:rsid w:val="000C5487"/>
    <w:rsid w:val="000C62EB"/>
    <w:rsid w:val="000C63E3"/>
    <w:rsid w:val="000C665E"/>
    <w:rsid w:val="000C70AD"/>
    <w:rsid w:val="000C7DF0"/>
    <w:rsid w:val="000D007F"/>
    <w:rsid w:val="000D055B"/>
    <w:rsid w:val="000D0A32"/>
    <w:rsid w:val="000D0C06"/>
    <w:rsid w:val="000D11B9"/>
    <w:rsid w:val="000D1F15"/>
    <w:rsid w:val="000D2DFE"/>
    <w:rsid w:val="000D3148"/>
    <w:rsid w:val="000D3D7B"/>
    <w:rsid w:val="000D4763"/>
    <w:rsid w:val="000D53B2"/>
    <w:rsid w:val="000D5597"/>
    <w:rsid w:val="000D5A26"/>
    <w:rsid w:val="000D7BB8"/>
    <w:rsid w:val="000E0024"/>
    <w:rsid w:val="000E02F1"/>
    <w:rsid w:val="000E0481"/>
    <w:rsid w:val="000E152E"/>
    <w:rsid w:val="000E15F4"/>
    <w:rsid w:val="000E1BC7"/>
    <w:rsid w:val="000E2467"/>
    <w:rsid w:val="000E2D45"/>
    <w:rsid w:val="000E2EBF"/>
    <w:rsid w:val="000E2F64"/>
    <w:rsid w:val="000E30CF"/>
    <w:rsid w:val="000E3C58"/>
    <w:rsid w:val="000E535C"/>
    <w:rsid w:val="000E61E8"/>
    <w:rsid w:val="000E7525"/>
    <w:rsid w:val="000E79EB"/>
    <w:rsid w:val="000F0876"/>
    <w:rsid w:val="000F0B75"/>
    <w:rsid w:val="000F0C5F"/>
    <w:rsid w:val="000F13A9"/>
    <w:rsid w:val="000F1910"/>
    <w:rsid w:val="000F1CA7"/>
    <w:rsid w:val="000F257B"/>
    <w:rsid w:val="000F340D"/>
    <w:rsid w:val="000F374C"/>
    <w:rsid w:val="000F44DE"/>
    <w:rsid w:val="000F4538"/>
    <w:rsid w:val="000F45BA"/>
    <w:rsid w:val="000F4D3D"/>
    <w:rsid w:val="000F5112"/>
    <w:rsid w:val="000F5611"/>
    <w:rsid w:val="000F57E3"/>
    <w:rsid w:val="000F5BB3"/>
    <w:rsid w:val="000F6141"/>
    <w:rsid w:val="000F6A53"/>
    <w:rsid w:val="000F6BB6"/>
    <w:rsid w:val="000F7274"/>
    <w:rsid w:val="000F78F9"/>
    <w:rsid w:val="00100589"/>
    <w:rsid w:val="0010078F"/>
    <w:rsid w:val="00100B18"/>
    <w:rsid w:val="00101572"/>
    <w:rsid w:val="001015FF"/>
    <w:rsid w:val="00102144"/>
    <w:rsid w:val="00102D47"/>
    <w:rsid w:val="00103388"/>
    <w:rsid w:val="00103C9E"/>
    <w:rsid w:val="00103DA1"/>
    <w:rsid w:val="001040A4"/>
    <w:rsid w:val="00104304"/>
    <w:rsid w:val="00105194"/>
    <w:rsid w:val="001054E2"/>
    <w:rsid w:val="0010607F"/>
    <w:rsid w:val="00106609"/>
    <w:rsid w:val="00107803"/>
    <w:rsid w:val="00110AD3"/>
    <w:rsid w:val="00110F30"/>
    <w:rsid w:val="00111573"/>
    <w:rsid w:val="00111810"/>
    <w:rsid w:val="00111F2F"/>
    <w:rsid w:val="001130D0"/>
    <w:rsid w:val="00114A3B"/>
    <w:rsid w:val="00116A29"/>
    <w:rsid w:val="00117112"/>
    <w:rsid w:val="00117E16"/>
    <w:rsid w:val="001205F3"/>
    <w:rsid w:val="0012079F"/>
    <w:rsid w:val="00120813"/>
    <w:rsid w:val="00120BDF"/>
    <w:rsid w:val="0012136B"/>
    <w:rsid w:val="00121959"/>
    <w:rsid w:val="00121A99"/>
    <w:rsid w:val="00121ABA"/>
    <w:rsid w:val="00122410"/>
    <w:rsid w:val="00122B10"/>
    <w:rsid w:val="00122FAE"/>
    <w:rsid w:val="0012343C"/>
    <w:rsid w:val="00123A33"/>
    <w:rsid w:val="00124382"/>
    <w:rsid w:val="00124526"/>
    <w:rsid w:val="001250AB"/>
    <w:rsid w:val="00126619"/>
    <w:rsid w:val="00126D98"/>
    <w:rsid w:val="00127BE1"/>
    <w:rsid w:val="0013029C"/>
    <w:rsid w:val="001305CD"/>
    <w:rsid w:val="00130BA7"/>
    <w:rsid w:val="00131BF9"/>
    <w:rsid w:val="00131DED"/>
    <w:rsid w:val="00131E56"/>
    <w:rsid w:val="001322CE"/>
    <w:rsid w:val="00133BCA"/>
    <w:rsid w:val="00133DAD"/>
    <w:rsid w:val="0013556E"/>
    <w:rsid w:val="00135884"/>
    <w:rsid w:val="00135B0C"/>
    <w:rsid w:val="00135F94"/>
    <w:rsid w:val="0013622A"/>
    <w:rsid w:val="001366B1"/>
    <w:rsid w:val="00136741"/>
    <w:rsid w:val="00136DA6"/>
    <w:rsid w:val="00136DE3"/>
    <w:rsid w:val="00140106"/>
    <w:rsid w:val="001403C4"/>
    <w:rsid w:val="00140F3B"/>
    <w:rsid w:val="001410FF"/>
    <w:rsid w:val="0014151C"/>
    <w:rsid w:val="00141BF4"/>
    <w:rsid w:val="0014256B"/>
    <w:rsid w:val="001426AD"/>
    <w:rsid w:val="00142A2A"/>
    <w:rsid w:val="00143E7D"/>
    <w:rsid w:val="00144686"/>
    <w:rsid w:val="00144B7D"/>
    <w:rsid w:val="00145ED1"/>
    <w:rsid w:val="0014608C"/>
    <w:rsid w:val="001467C2"/>
    <w:rsid w:val="00146806"/>
    <w:rsid w:val="00146B92"/>
    <w:rsid w:val="0014729E"/>
    <w:rsid w:val="00147CC3"/>
    <w:rsid w:val="00147E2D"/>
    <w:rsid w:val="00150537"/>
    <w:rsid w:val="0015094E"/>
    <w:rsid w:val="00150A19"/>
    <w:rsid w:val="00150F0B"/>
    <w:rsid w:val="00150FB3"/>
    <w:rsid w:val="0015170C"/>
    <w:rsid w:val="00152A41"/>
    <w:rsid w:val="00152BF9"/>
    <w:rsid w:val="00152E2E"/>
    <w:rsid w:val="00152E88"/>
    <w:rsid w:val="00153365"/>
    <w:rsid w:val="001534CF"/>
    <w:rsid w:val="00155026"/>
    <w:rsid w:val="001553A8"/>
    <w:rsid w:val="00160AE6"/>
    <w:rsid w:val="001616D9"/>
    <w:rsid w:val="001623D3"/>
    <w:rsid w:val="00162AEF"/>
    <w:rsid w:val="00163475"/>
    <w:rsid w:val="0016367A"/>
    <w:rsid w:val="00163AEF"/>
    <w:rsid w:val="00163EDA"/>
    <w:rsid w:val="00163F91"/>
    <w:rsid w:val="00164AA1"/>
    <w:rsid w:val="001661FB"/>
    <w:rsid w:val="001665B0"/>
    <w:rsid w:val="0016730C"/>
    <w:rsid w:val="00167334"/>
    <w:rsid w:val="00167858"/>
    <w:rsid w:val="0017014B"/>
    <w:rsid w:val="00170154"/>
    <w:rsid w:val="001704DB"/>
    <w:rsid w:val="0017060C"/>
    <w:rsid w:val="00170955"/>
    <w:rsid w:val="00170C89"/>
    <w:rsid w:val="00170F0E"/>
    <w:rsid w:val="0017199C"/>
    <w:rsid w:val="00172004"/>
    <w:rsid w:val="001729A2"/>
    <w:rsid w:val="00172BD8"/>
    <w:rsid w:val="00172EBD"/>
    <w:rsid w:val="00177FBC"/>
    <w:rsid w:val="0018032C"/>
    <w:rsid w:val="00181631"/>
    <w:rsid w:val="00181FB6"/>
    <w:rsid w:val="001827AA"/>
    <w:rsid w:val="0018444C"/>
    <w:rsid w:val="00184FC4"/>
    <w:rsid w:val="0018531B"/>
    <w:rsid w:val="00185F90"/>
    <w:rsid w:val="0018641A"/>
    <w:rsid w:val="00186457"/>
    <w:rsid w:val="00186F3E"/>
    <w:rsid w:val="00187628"/>
    <w:rsid w:val="00187D39"/>
    <w:rsid w:val="0019003C"/>
    <w:rsid w:val="001907E3"/>
    <w:rsid w:val="00190AC0"/>
    <w:rsid w:val="00190DFF"/>
    <w:rsid w:val="00191DA2"/>
    <w:rsid w:val="00192A2C"/>
    <w:rsid w:val="00192D0E"/>
    <w:rsid w:val="00193291"/>
    <w:rsid w:val="001933BD"/>
    <w:rsid w:val="001939D3"/>
    <w:rsid w:val="00193AC8"/>
    <w:rsid w:val="00193F32"/>
    <w:rsid w:val="00194066"/>
    <w:rsid w:val="00194745"/>
    <w:rsid w:val="00195515"/>
    <w:rsid w:val="001959FE"/>
    <w:rsid w:val="00197601"/>
    <w:rsid w:val="00197635"/>
    <w:rsid w:val="00197703"/>
    <w:rsid w:val="001A0191"/>
    <w:rsid w:val="001A0713"/>
    <w:rsid w:val="001A08AF"/>
    <w:rsid w:val="001A26BF"/>
    <w:rsid w:val="001A331C"/>
    <w:rsid w:val="001A33C3"/>
    <w:rsid w:val="001A3701"/>
    <w:rsid w:val="001A568B"/>
    <w:rsid w:val="001A5AB2"/>
    <w:rsid w:val="001A6714"/>
    <w:rsid w:val="001A6F24"/>
    <w:rsid w:val="001A7235"/>
    <w:rsid w:val="001A79EA"/>
    <w:rsid w:val="001A7B77"/>
    <w:rsid w:val="001B0CC6"/>
    <w:rsid w:val="001B0E41"/>
    <w:rsid w:val="001B101E"/>
    <w:rsid w:val="001B10F8"/>
    <w:rsid w:val="001B1953"/>
    <w:rsid w:val="001B1E4B"/>
    <w:rsid w:val="001B1FF0"/>
    <w:rsid w:val="001B3A21"/>
    <w:rsid w:val="001B41DD"/>
    <w:rsid w:val="001B444F"/>
    <w:rsid w:val="001B4DE1"/>
    <w:rsid w:val="001B4E5C"/>
    <w:rsid w:val="001B54EB"/>
    <w:rsid w:val="001B590B"/>
    <w:rsid w:val="001B6C99"/>
    <w:rsid w:val="001B6D92"/>
    <w:rsid w:val="001B6F30"/>
    <w:rsid w:val="001B732A"/>
    <w:rsid w:val="001B77BD"/>
    <w:rsid w:val="001B7E66"/>
    <w:rsid w:val="001B7F6C"/>
    <w:rsid w:val="001C0AEE"/>
    <w:rsid w:val="001C1924"/>
    <w:rsid w:val="001C1D9B"/>
    <w:rsid w:val="001C21F6"/>
    <w:rsid w:val="001C25B6"/>
    <w:rsid w:val="001C2E6F"/>
    <w:rsid w:val="001C3736"/>
    <w:rsid w:val="001C3D11"/>
    <w:rsid w:val="001C48BC"/>
    <w:rsid w:val="001C4B15"/>
    <w:rsid w:val="001C5475"/>
    <w:rsid w:val="001C5D89"/>
    <w:rsid w:val="001C5D8C"/>
    <w:rsid w:val="001C660D"/>
    <w:rsid w:val="001C763C"/>
    <w:rsid w:val="001C7C08"/>
    <w:rsid w:val="001D0173"/>
    <w:rsid w:val="001D05EE"/>
    <w:rsid w:val="001D07D7"/>
    <w:rsid w:val="001D1A3E"/>
    <w:rsid w:val="001D2242"/>
    <w:rsid w:val="001D253C"/>
    <w:rsid w:val="001D4414"/>
    <w:rsid w:val="001D46DC"/>
    <w:rsid w:val="001D4C5C"/>
    <w:rsid w:val="001D58A0"/>
    <w:rsid w:val="001D5B86"/>
    <w:rsid w:val="001D5EED"/>
    <w:rsid w:val="001D7C14"/>
    <w:rsid w:val="001E15C4"/>
    <w:rsid w:val="001E1F01"/>
    <w:rsid w:val="001E3696"/>
    <w:rsid w:val="001E3750"/>
    <w:rsid w:val="001E3A5F"/>
    <w:rsid w:val="001E3D5A"/>
    <w:rsid w:val="001E4371"/>
    <w:rsid w:val="001E43E7"/>
    <w:rsid w:val="001E4968"/>
    <w:rsid w:val="001E4A5B"/>
    <w:rsid w:val="001E6B7A"/>
    <w:rsid w:val="001E6FC5"/>
    <w:rsid w:val="001F0742"/>
    <w:rsid w:val="001F12F7"/>
    <w:rsid w:val="001F180F"/>
    <w:rsid w:val="001F2EB8"/>
    <w:rsid w:val="001F3A76"/>
    <w:rsid w:val="001F41E9"/>
    <w:rsid w:val="001F5270"/>
    <w:rsid w:val="001F537B"/>
    <w:rsid w:val="001F5642"/>
    <w:rsid w:val="001F576F"/>
    <w:rsid w:val="001F58ED"/>
    <w:rsid w:val="001F6BE1"/>
    <w:rsid w:val="001F6E45"/>
    <w:rsid w:val="001F750E"/>
    <w:rsid w:val="001F7576"/>
    <w:rsid w:val="001F79B4"/>
    <w:rsid w:val="00200A6E"/>
    <w:rsid w:val="002028E8"/>
    <w:rsid w:val="00202960"/>
    <w:rsid w:val="0020365A"/>
    <w:rsid w:val="002038E8"/>
    <w:rsid w:val="00204014"/>
    <w:rsid w:val="00204284"/>
    <w:rsid w:val="00204287"/>
    <w:rsid w:val="00204D10"/>
    <w:rsid w:val="00204DEB"/>
    <w:rsid w:val="00204F24"/>
    <w:rsid w:val="0020593E"/>
    <w:rsid w:val="00206310"/>
    <w:rsid w:val="002065B9"/>
    <w:rsid w:val="002073F0"/>
    <w:rsid w:val="0020767E"/>
    <w:rsid w:val="00207B46"/>
    <w:rsid w:val="00207C57"/>
    <w:rsid w:val="00207E16"/>
    <w:rsid w:val="00210E60"/>
    <w:rsid w:val="00212031"/>
    <w:rsid w:val="0021296B"/>
    <w:rsid w:val="002143D3"/>
    <w:rsid w:val="00216291"/>
    <w:rsid w:val="00217706"/>
    <w:rsid w:val="0022062F"/>
    <w:rsid w:val="00222336"/>
    <w:rsid w:val="00222B4C"/>
    <w:rsid w:val="00223FA5"/>
    <w:rsid w:val="00224064"/>
    <w:rsid w:val="0022492B"/>
    <w:rsid w:val="00224ED2"/>
    <w:rsid w:val="0022505E"/>
    <w:rsid w:val="00226C57"/>
    <w:rsid w:val="00226D22"/>
    <w:rsid w:val="0022707C"/>
    <w:rsid w:val="00227D1E"/>
    <w:rsid w:val="0023049E"/>
    <w:rsid w:val="002304F2"/>
    <w:rsid w:val="002305D5"/>
    <w:rsid w:val="002312BA"/>
    <w:rsid w:val="00231A4D"/>
    <w:rsid w:val="00231D40"/>
    <w:rsid w:val="00233579"/>
    <w:rsid w:val="0023362C"/>
    <w:rsid w:val="00233F40"/>
    <w:rsid w:val="002342C1"/>
    <w:rsid w:val="002343C9"/>
    <w:rsid w:val="002344A4"/>
    <w:rsid w:val="0023452F"/>
    <w:rsid w:val="00234B94"/>
    <w:rsid w:val="00234CD9"/>
    <w:rsid w:val="002350E0"/>
    <w:rsid w:val="00235C4E"/>
    <w:rsid w:val="00235D5E"/>
    <w:rsid w:val="00235EC3"/>
    <w:rsid w:val="00235ED0"/>
    <w:rsid w:val="0023725B"/>
    <w:rsid w:val="002374C6"/>
    <w:rsid w:val="002376CC"/>
    <w:rsid w:val="00237717"/>
    <w:rsid w:val="00237EBB"/>
    <w:rsid w:val="00240C2A"/>
    <w:rsid w:val="00241686"/>
    <w:rsid w:val="00241CBE"/>
    <w:rsid w:val="00241EF2"/>
    <w:rsid w:val="00242476"/>
    <w:rsid w:val="00242597"/>
    <w:rsid w:val="00242E78"/>
    <w:rsid w:val="00242FBC"/>
    <w:rsid w:val="0024307E"/>
    <w:rsid w:val="002430C6"/>
    <w:rsid w:val="00244091"/>
    <w:rsid w:val="00245182"/>
    <w:rsid w:val="00245828"/>
    <w:rsid w:val="002501AC"/>
    <w:rsid w:val="002505B9"/>
    <w:rsid w:val="00250665"/>
    <w:rsid w:val="00251393"/>
    <w:rsid w:val="002521E1"/>
    <w:rsid w:val="0025278C"/>
    <w:rsid w:val="00252A02"/>
    <w:rsid w:val="00252D8C"/>
    <w:rsid w:val="00253548"/>
    <w:rsid w:val="00253634"/>
    <w:rsid w:val="002538E7"/>
    <w:rsid w:val="00254FBB"/>
    <w:rsid w:val="0025511D"/>
    <w:rsid w:val="00255869"/>
    <w:rsid w:val="002602EC"/>
    <w:rsid w:val="00260587"/>
    <w:rsid w:val="002615B6"/>
    <w:rsid w:val="00261733"/>
    <w:rsid w:val="00261B75"/>
    <w:rsid w:val="00262733"/>
    <w:rsid w:val="002629B3"/>
    <w:rsid w:val="00262B4C"/>
    <w:rsid w:val="00263A9F"/>
    <w:rsid w:val="00265806"/>
    <w:rsid w:val="00265CB1"/>
    <w:rsid w:val="0026776D"/>
    <w:rsid w:val="00270513"/>
    <w:rsid w:val="0027082C"/>
    <w:rsid w:val="00270D1D"/>
    <w:rsid w:val="00271E7B"/>
    <w:rsid w:val="00272708"/>
    <w:rsid w:val="002740CB"/>
    <w:rsid w:val="00274635"/>
    <w:rsid w:val="00275AAE"/>
    <w:rsid w:val="002760CC"/>
    <w:rsid w:val="002762A7"/>
    <w:rsid w:val="00276843"/>
    <w:rsid w:val="0027764A"/>
    <w:rsid w:val="00277AF6"/>
    <w:rsid w:val="00277C75"/>
    <w:rsid w:val="00280E3B"/>
    <w:rsid w:val="002813B8"/>
    <w:rsid w:val="00281FBC"/>
    <w:rsid w:val="00283CCE"/>
    <w:rsid w:val="00283EBC"/>
    <w:rsid w:val="002849AC"/>
    <w:rsid w:val="002854ED"/>
    <w:rsid w:val="002857CC"/>
    <w:rsid w:val="002857F6"/>
    <w:rsid w:val="00285CA3"/>
    <w:rsid w:val="002861DF"/>
    <w:rsid w:val="00286A91"/>
    <w:rsid w:val="002875E4"/>
    <w:rsid w:val="0029107F"/>
    <w:rsid w:val="002911CC"/>
    <w:rsid w:val="00291C31"/>
    <w:rsid w:val="00291C36"/>
    <w:rsid w:val="00291FF8"/>
    <w:rsid w:val="00292B1F"/>
    <w:rsid w:val="00292D2B"/>
    <w:rsid w:val="002933A0"/>
    <w:rsid w:val="00294227"/>
    <w:rsid w:val="0029477C"/>
    <w:rsid w:val="002949B9"/>
    <w:rsid w:val="00295071"/>
    <w:rsid w:val="00295F80"/>
    <w:rsid w:val="00296C2D"/>
    <w:rsid w:val="00296E76"/>
    <w:rsid w:val="00296F0C"/>
    <w:rsid w:val="00296FB8"/>
    <w:rsid w:val="002971DF"/>
    <w:rsid w:val="002A0787"/>
    <w:rsid w:val="002A0970"/>
    <w:rsid w:val="002A1C16"/>
    <w:rsid w:val="002A29B6"/>
    <w:rsid w:val="002A2D49"/>
    <w:rsid w:val="002A3C67"/>
    <w:rsid w:val="002A3CB3"/>
    <w:rsid w:val="002A5031"/>
    <w:rsid w:val="002A53DF"/>
    <w:rsid w:val="002A564C"/>
    <w:rsid w:val="002A6857"/>
    <w:rsid w:val="002A6876"/>
    <w:rsid w:val="002A6930"/>
    <w:rsid w:val="002A6932"/>
    <w:rsid w:val="002B01BD"/>
    <w:rsid w:val="002B16BA"/>
    <w:rsid w:val="002B1E47"/>
    <w:rsid w:val="002B1FC3"/>
    <w:rsid w:val="002B2E75"/>
    <w:rsid w:val="002B37FE"/>
    <w:rsid w:val="002B57CB"/>
    <w:rsid w:val="002B64FF"/>
    <w:rsid w:val="002B6918"/>
    <w:rsid w:val="002B71CC"/>
    <w:rsid w:val="002B78DF"/>
    <w:rsid w:val="002C0DA8"/>
    <w:rsid w:val="002C1146"/>
    <w:rsid w:val="002C20AF"/>
    <w:rsid w:val="002C2607"/>
    <w:rsid w:val="002C3421"/>
    <w:rsid w:val="002C355B"/>
    <w:rsid w:val="002C3886"/>
    <w:rsid w:val="002C3CF2"/>
    <w:rsid w:val="002C4068"/>
    <w:rsid w:val="002C5BC3"/>
    <w:rsid w:val="002C69B9"/>
    <w:rsid w:val="002C7C69"/>
    <w:rsid w:val="002D033C"/>
    <w:rsid w:val="002D03E0"/>
    <w:rsid w:val="002D0CE2"/>
    <w:rsid w:val="002D13A8"/>
    <w:rsid w:val="002D1461"/>
    <w:rsid w:val="002D2E3E"/>
    <w:rsid w:val="002D37F8"/>
    <w:rsid w:val="002D3ECE"/>
    <w:rsid w:val="002D3F7F"/>
    <w:rsid w:val="002D4EFC"/>
    <w:rsid w:val="002D54CE"/>
    <w:rsid w:val="002D54F7"/>
    <w:rsid w:val="002D55FA"/>
    <w:rsid w:val="002D656C"/>
    <w:rsid w:val="002D67A9"/>
    <w:rsid w:val="002D7935"/>
    <w:rsid w:val="002D7C1E"/>
    <w:rsid w:val="002E0D31"/>
    <w:rsid w:val="002E25D4"/>
    <w:rsid w:val="002E32CE"/>
    <w:rsid w:val="002E33E7"/>
    <w:rsid w:val="002E39DD"/>
    <w:rsid w:val="002E514D"/>
    <w:rsid w:val="002E52A6"/>
    <w:rsid w:val="002E690E"/>
    <w:rsid w:val="002E6C2E"/>
    <w:rsid w:val="002E7D77"/>
    <w:rsid w:val="002F0475"/>
    <w:rsid w:val="002F0B5F"/>
    <w:rsid w:val="002F1A63"/>
    <w:rsid w:val="002F1E1E"/>
    <w:rsid w:val="002F1FF2"/>
    <w:rsid w:val="002F22ED"/>
    <w:rsid w:val="002F2F42"/>
    <w:rsid w:val="002F3679"/>
    <w:rsid w:val="002F4410"/>
    <w:rsid w:val="002F4A77"/>
    <w:rsid w:val="002F5A73"/>
    <w:rsid w:val="002F63BF"/>
    <w:rsid w:val="002F689A"/>
    <w:rsid w:val="002F6DAD"/>
    <w:rsid w:val="002F71D1"/>
    <w:rsid w:val="002F794A"/>
    <w:rsid w:val="002F7B3D"/>
    <w:rsid w:val="002F7E95"/>
    <w:rsid w:val="003005ED"/>
    <w:rsid w:val="00300D4C"/>
    <w:rsid w:val="00300EAB"/>
    <w:rsid w:val="00301AF4"/>
    <w:rsid w:val="003022EA"/>
    <w:rsid w:val="0030254C"/>
    <w:rsid w:val="003034CD"/>
    <w:rsid w:val="00304CB3"/>
    <w:rsid w:val="00304E84"/>
    <w:rsid w:val="00305F91"/>
    <w:rsid w:val="003064B6"/>
    <w:rsid w:val="00306A1B"/>
    <w:rsid w:val="003075CE"/>
    <w:rsid w:val="00307C8B"/>
    <w:rsid w:val="00307CE5"/>
    <w:rsid w:val="0031009A"/>
    <w:rsid w:val="003101D0"/>
    <w:rsid w:val="00310974"/>
    <w:rsid w:val="00310CE3"/>
    <w:rsid w:val="00311765"/>
    <w:rsid w:val="0031211C"/>
    <w:rsid w:val="003125B2"/>
    <w:rsid w:val="003125E7"/>
    <w:rsid w:val="003127B9"/>
    <w:rsid w:val="00312B3B"/>
    <w:rsid w:val="00312F2D"/>
    <w:rsid w:val="0031328B"/>
    <w:rsid w:val="00314253"/>
    <w:rsid w:val="003142D6"/>
    <w:rsid w:val="003147A4"/>
    <w:rsid w:val="00314813"/>
    <w:rsid w:val="00314EE4"/>
    <w:rsid w:val="00315398"/>
    <w:rsid w:val="00316DFF"/>
    <w:rsid w:val="00317FC3"/>
    <w:rsid w:val="00320C8E"/>
    <w:rsid w:val="00320FF9"/>
    <w:rsid w:val="00322219"/>
    <w:rsid w:val="00322C7C"/>
    <w:rsid w:val="00322D86"/>
    <w:rsid w:val="00323066"/>
    <w:rsid w:val="00323D3A"/>
    <w:rsid w:val="00324122"/>
    <w:rsid w:val="00324C82"/>
    <w:rsid w:val="00325105"/>
    <w:rsid w:val="00325719"/>
    <w:rsid w:val="00327949"/>
    <w:rsid w:val="00327990"/>
    <w:rsid w:val="00327EAE"/>
    <w:rsid w:val="003305B1"/>
    <w:rsid w:val="00330C32"/>
    <w:rsid w:val="00330E24"/>
    <w:rsid w:val="00331791"/>
    <w:rsid w:val="00331C5F"/>
    <w:rsid w:val="003337A6"/>
    <w:rsid w:val="00333CB2"/>
    <w:rsid w:val="003352D8"/>
    <w:rsid w:val="00335365"/>
    <w:rsid w:val="003355F9"/>
    <w:rsid w:val="00335C74"/>
    <w:rsid w:val="00336119"/>
    <w:rsid w:val="00337C90"/>
    <w:rsid w:val="00337E3A"/>
    <w:rsid w:val="00340FB0"/>
    <w:rsid w:val="00341883"/>
    <w:rsid w:val="0034192F"/>
    <w:rsid w:val="0034228B"/>
    <w:rsid w:val="003431AC"/>
    <w:rsid w:val="003437C8"/>
    <w:rsid w:val="003445B0"/>
    <w:rsid w:val="00345899"/>
    <w:rsid w:val="00345F07"/>
    <w:rsid w:val="003467CC"/>
    <w:rsid w:val="00346B10"/>
    <w:rsid w:val="00346B94"/>
    <w:rsid w:val="00346E2A"/>
    <w:rsid w:val="0034705F"/>
    <w:rsid w:val="0034727F"/>
    <w:rsid w:val="00347AFB"/>
    <w:rsid w:val="00347E44"/>
    <w:rsid w:val="003503BA"/>
    <w:rsid w:val="00350647"/>
    <w:rsid w:val="00350E5F"/>
    <w:rsid w:val="00352084"/>
    <w:rsid w:val="0035284E"/>
    <w:rsid w:val="00352F2E"/>
    <w:rsid w:val="00354629"/>
    <w:rsid w:val="00354918"/>
    <w:rsid w:val="00354C75"/>
    <w:rsid w:val="00355671"/>
    <w:rsid w:val="00355CD8"/>
    <w:rsid w:val="00361249"/>
    <w:rsid w:val="003623D4"/>
    <w:rsid w:val="00362D96"/>
    <w:rsid w:val="00363125"/>
    <w:rsid w:val="003637A0"/>
    <w:rsid w:val="003638C6"/>
    <w:rsid w:val="00363B40"/>
    <w:rsid w:val="00363C5F"/>
    <w:rsid w:val="00364226"/>
    <w:rsid w:val="003642AE"/>
    <w:rsid w:val="003642C2"/>
    <w:rsid w:val="00364D8E"/>
    <w:rsid w:val="003650DB"/>
    <w:rsid w:val="003653BE"/>
    <w:rsid w:val="00367225"/>
    <w:rsid w:val="00367847"/>
    <w:rsid w:val="0037038C"/>
    <w:rsid w:val="003707C6"/>
    <w:rsid w:val="00370E70"/>
    <w:rsid w:val="00371103"/>
    <w:rsid w:val="003716A5"/>
    <w:rsid w:val="00371E62"/>
    <w:rsid w:val="00372212"/>
    <w:rsid w:val="00372810"/>
    <w:rsid w:val="00372F12"/>
    <w:rsid w:val="00373B13"/>
    <w:rsid w:val="00373BFB"/>
    <w:rsid w:val="00374041"/>
    <w:rsid w:val="00374574"/>
    <w:rsid w:val="00374A93"/>
    <w:rsid w:val="00374F85"/>
    <w:rsid w:val="003752CE"/>
    <w:rsid w:val="003758E9"/>
    <w:rsid w:val="00375F7D"/>
    <w:rsid w:val="00376DC5"/>
    <w:rsid w:val="003770F7"/>
    <w:rsid w:val="00381255"/>
    <w:rsid w:val="003814C0"/>
    <w:rsid w:val="00381A37"/>
    <w:rsid w:val="00381EE2"/>
    <w:rsid w:val="003820D5"/>
    <w:rsid w:val="00383032"/>
    <w:rsid w:val="003835A6"/>
    <w:rsid w:val="00383D2B"/>
    <w:rsid w:val="003848EE"/>
    <w:rsid w:val="00384A9E"/>
    <w:rsid w:val="00384AF8"/>
    <w:rsid w:val="003856CF"/>
    <w:rsid w:val="003858E2"/>
    <w:rsid w:val="00385D6F"/>
    <w:rsid w:val="00385EA3"/>
    <w:rsid w:val="0038635B"/>
    <w:rsid w:val="003863F6"/>
    <w:rsid w:val="00386632"/>
    <w:rsid w:val="00386996"/>
    <w:rsid w:val="00386A90"/>
    <w:rsid w:val="00386DEA"/>
    <w:rsid w:val="00387363"/>
    <w:rsid w:val="0038738A"/>
    <w:rsid w:val="00387BBA"/>
    <w:rsid w:val="0039059B"/>
    <w:rsid w:val="00390C11"/>
    <w:rsid w:val="0039109C"/>
    <w:rsid w:val="00392B04"/>
    <w:rsid w:val="003935AC"/>
    <w:rsid w:val="003941CC"/>
    <w:rsid w:val="00394838"/>
    <w:rsid w:val="00394840"/>
    <w:rsid w:val="003957D9"/>
    <w:rsid w:val="00395A66"/>
    <w:rsid w:val="00395F46"/>
    <w:rsid w:val="00396DA9"/>
    <w:rsid w:val="0039778F"/>
    <w:rsid w:val="00397B3B"/>
    <w:rsid w:val="00397BA0"/>
    <w:rsid w:val="003A097C"/>
    <w:rsid w:val="003A0FF7"/>
    <w:rsid w:val="003A1425"/>
    <w:rsid w:val="003A1847"/>
    <w:rsid w:val="003A42CC"/>
    <w:rsid w:val="003A462A"/>
    <w:rsid w:val="003A5292"/>
    <w:rsid w:val="003A5847"/>
    <w:rsid w:val="003A5878"/>
    <w:rsid w:val="003A6190"/>
    <w:rsid w:val="003A64EE"/>
    <w:rsid w:val="003A67F2"/>
    <w:rsid w:val="003B0417"/>
    <w:rsid w:val="003B0FF8"/>
    <w:rsid w:val="003B18FB"/>
    <w:rsid w:val="003B207B"/>
    <w:rsid w:val="003B2F67"/>
    <w:rsid w:val="003B323A"/>
    <w:rsid w:val="003B3A88"/>
    <w:rsid w:val="003B445D"/>
    <w:rsid w:val="003B4AD2"/>
    <w:rsid w:val="003B5E2F"/>
    <w:rsid w:val="003B6289"/>
    <w:rsid w:val="003B7465"/>
    <w:rsid w:val="003B7685"/>
    <w:rsid w:val="003B7960"/>
    <w:rsid w:val="003B7F24"/>
    <w:rsid w:val="003C0252"/>
    <w:rsid w:val="003C0BBF"/>
    <w:rsid w:val="003C0D92"/>
    <w:rsid w:val="003C1DDD"/>
    <w:rsid w:val="003C4AA7"/>
    <w:rsid w:val="003C52C6"/>
    <w:rsid w:val="003C52DE"/>
    <w:rsid w:val="003C7DF0"/>
    <w:rsid w:val="003D0370"/>
    <w:rsid w:val="003D099D"/>
    <w:rsid w:val="003D0E98"/>
    <w:rsid w:val="003D1E4B"/>
    <w:rsid w:val="003D2073"/>
    <w:rsid w:val="003D2437"/>
    <w:rsid w:val="003D2B3E"/>
    <w:rsid w:val="003D2E5C"/>
    <w:rsid w:val="003D30EF"/>
    <w:rsid w:val="003D323F"/>
    <w:rsid w:val="003D3831"/>
    <w:rsid w:val="003D3E52"/>
    <w:rsid w:val="003D437F"/>
    <w:rsid w:val="003D4EC6"/>
    <w:rsid w:val="003D6A04"/>
    <w:rsid w:val="003D6C63"/>
    <w:rsid w:val="003E0911"/>
    <w:rsid w:val="003E116E"/>
    <w:rsid w:val="003E301A"/>
    <w:rsid w:val="003E33F4"/>
    <w:rsid w:val="003E34C3"/>
    <w:rsid w:val="003E43C8"/>
    <w:rsid w:val="003E4431"/>
    <w:rsid w:val="003E47DE"/>
    <w:rsid w:val="003E6C2E"/>
    <w:rsid w:val="003E6CE5"/>
    <w:rsid w:val="003E74C6"/>
    <w:rsid w:val="003E7C77"/>
    <w:rsid w:val="003E7F6D"/>
    <w:rsid w:val="003F02EF"/>
    <w:rsid w:val="003F1104"/>
    <w:rsid w:val="003F136E"/>
    <w:rsid w:val="003F1847"/>
    <w:rsid w:val="003F1F62"/>
    <w:rsid w:val="003F2061"/>
    <w:rsid w:val="003F238B"/>
    <w:rsid w:val="003F34B8"/>
    <w:rsid w:val="003F3683"/>
    <w:rsid w:val="003F3AB1"/>
    <w:rsid w:val="003F3D09"/>
    <w:rsid w:val="003F4876"/>
    <w:rsid w:val="003F4DBF"/>
    <w:rsid w:val="003F525F"/>
    <w:rsid w:val="003F536D"/>
    <w:rsid w:val="003F66BE"/>
    <w:rsid w:val="0040059C"/>
    <w:rsid w:val="004005B1"/>
    <w:rsid w:val="004007E5"/>
    <w:rsid w:val="00401037"/>
    <w:rsid w:val="00401797"/>
    <w:rsid w:val="004019DF"/>
    <w:rsid w:val="004021F3"/>
    <w:rsid w:val="0040272E"/>
    <w:rsid w:val="0040289F"/>
    <w:rsid w:val="00402C52"/>
    <w:rsid w:val="00403DF7"/>
    <w:rsid w:val="00404704"/>
    <w:rsid w:val="00404A2E"/>
    <w:rsid w:val="00405997"/>
    <w:rsid w:val="00406597"/>
    <w:rsid w:val="004065A1"/>
    <w:rsid w:val="0040674B"/>
    <w:rsid w:val="00406BDE"/>
    <w:rsid w:val="004073D9"/>
    <w:rsid w:val="004101C4"/>
    <w:rsid w:val="00411121"/>
    <w:rsid w:val="0041182B"/>
    <w:rsid w:val="00412636"/>
    <w:rsid w:val="00413145"/>
    <w:rsid w:val="0041346F"/>
    <w:rsid w:val="004144CF"/>
    <w:rsid w:val="00414538"/>
    <w:rsid w:val="004153FB"/>
    <w:rsid w:val="0041582D"/>
    <w:rsid w:val="00415F09"/>
    <w:rsid w:val="00417A66"/>
    <w:rsid w:val="00417D1C"/>
    <w:rsid w:val="00420E9D"/>
    <w:rsid w:val="00421EE5"/>
    <w:rsid w:val="00422591"/>
    <w:rsid w:val="00422840"/>
    <w:rsid w:val="00423383"/>
    <w:rsid w:val="0042434D"/>
    <w:rsid w:val="00424F4B"/>
    <w:rsid w:val="004256FB"/>
    <w:rsid w:val="00425B62"/>
    <w:rsid w:val="00425E02"/>
    <w:rsid w:val="0042649C"/>
    <w:rsid w:val="00426570"/>
    <w:rsid w:val="00426A2A"/>
    <w:rsid w:val="00427B7D"/>
    <w:rsid w:val="00427E2B"/>
    <w:rsid w:val="004305CD"/>
    <w:rsid w:val="00430893"/>
    <w:rsid w:val="0043109A"/>
    <w:rsid w:val="00431C8F"/>
    <w:rsid w:val="004322B5"/>
    <w:rsid w:val="00433834"/>
    <w:rsid w:val="00434233"/>
    <w:rsid w:val="004353A2"/>
    <w:rsid w:val="0043557E"/>
    <w:rsid w:val="00437EFD"/>
    <w:rsid w:val="00437F17"/>
    <w:rsid w:val="0044019B"/>
    <w:rsid w:val="0044043C"/>
    <w:rsid w:val="00440464"/>
    <w:rsid w:val="004408BF"/>
    <w:rsid w:val="004409A8"/>
    <w:rsid w:val="00440E8C"/>
    <w:rsid w:val="0044132E"/>
    <w:rsid w:val="004421D9"/>
    <w:rsid w:val="004423F7"/>
    <w:rsid w:val="00442DC3"/>
    <w:rsid w:val="004446AA"/>
    <w:rsid w:val="004453A9"/>
    <w:rsid w:val="004465B2"/>
    <w:rsid w:val="00446A0B"/>
    <w:rsid w:val="00446F25"/>
    <w:rsid w:val="00447EF0"/>
    <w:rsid w:val="0045014F"/>
    <w:rsid w:val="00450560"/>
    <w:rsid w:val="0045087B"/>
    <w:rsid w:val="00450C12"/>
    <w:rsid w:val="00451FB5"/>
    <w:rsid w:val="00453E1F"/>
    <w:rsid w:val="00454646"/>
    <w:rsid w:val="00454BB0"/>
    <w:rsid w:val="00455545"/>
    <w:rsid w:val="0045649A"/>
    <w:rsid w:val="00457881"/>
    <w:rsid w:val="00460141"/>
    <w:rsid w:val="00460222"/>
    <w:rsid w:val="00460643"/>
    <w:rsid w:val="004609FF"/>
    <w:rsid w:val="00461E1C"/>
    <w:rsid w:val="00463687"/>
    <w:rsid w:val="004638B0"/>
    <w:rsid w:val="00463990"/>
    <w:rsid w:val="004639ED"/>
    <w:rsid w:val="00463CDB"/>
    <w:rsid w:val="00464778"/>
    <w:rsid w:val="00465569"/>
    <w:rsid w:val="00465CA2"/>
    <w:rsid w:val="0046625D"/>
    <w:rsid w:val="0046664B"/>
    <w:rsid w:val="0046745E"/>
    <w:rsid w:val="0046779B"/>
    <w:rsid w:val="004707AB"/>
    <w:rsid w:val="00470E08"/>
    <w:rsid w:val="00471255"/>
    <w:rsid w:val="00472A31"/>
    <w:rsid w:val="00473197"/>
    <w:rsid w:val="0047381A"/>
    <w:rsid w:val="0047399A"/>
    <w:rsid w:val="0047513B"/>
    <w:rsid w:val="004754A2"/>
    <w:rsid w:val="004757C4"/>
    <w:rsid w:val="00476441"/>
    <w:rsid w:val="00477B05"/>
    <w:rsid w:val="00480572"/>
    <w:rsid w:val="00480E9D"/>
    <w:rsid w:val="00482E65"/>
    <w:rsid w:val="0048384A"/>
    <w:rsid w:val="00483C87"/>
    <w:rsid w:val="0048526F"/>
    <w:rsid w:val="00485F45"/>
    <w:rsid w:val="00486605"/>
    <w:rsid w:val="00486A55"/>
    <w:rsid w:val="00486B7D"/>
    <w:rsid w:val="00487881"/>
    <w:rsid w:val="00487C18"/>
    <w:rsid w:val="00487D79"/>
    <w:rsid w:val="00490825"/>
    <w:rsid w:val="00490D0E"/>
    <w:rsid w:val="004916DB"/>
    <w:rsid w:val="00491C65"/>
    <w:rsid w:val="00492585"/>
    <w:rsid w:val="004928C5"/>
    <w:rsid w:val="00493F3A"/>
    <w:rsid w:val="00494B11"/>
    <w:rsid w:val="00494FEF"/>
    <w:rsid w:val="004953A6"/>
    <w:rsid w:val="00495809"/>
    <w:rsid w:val="004958C7"/>
    <w:rsid w:val="00495AB8"/>
    <w:rsid w:val="00495E2B"/>
    <w:rsid w:val="00496504"/>
    <w:rsid w:val="00496C6A"/>
    <w:rsid w:val="00497806"/>
    <w:rsid w:val="00497E18"/>
    <w:rsid w:val="004A116B"/>
    <w:rsid w:val="004A1411"/>
    <w:rsid w:val="004A1E9D"/>
    <w:rsid w:val="004A2268"/>
    <w:rsid w:val="004A252C"/>
    <w:rsid w:val="004A266A"/>
    <w:rsid w:val="004A295A"/>
    <w:rsid w:val="004A32BE"/>
    <w:rsid w:val="004A379A"/>
    <w:rsid w:val="004A3FBB"/>
    <w:rsid w:val="004A41B4"/>
    <w:rsid w:val="004A69E8"/>
    <w:rsid w:val="004A73DC"/>
    <w:rsid w:val="004B0A26"/>
    <w:rsid w:val="004B0A40"/>
    <w:rsid w:val="004B2CA6"/>
    <w:rsid w:val="004B2E8D"/>
    <w:rsid w:val="004B417C"/>
    <w:rsid w:val="004B4BB8"/>
    <w:rsid w:val="004B718A"/>
    <w:rsid w:val="004B7BDA"/>
    <w:rsid w:val="004B7DD8"/>
    <w:rsid w:val="004C0203"/>
    <w:rsid w:val="004C1DFD"/>
    <w:rsid w:val="004C2314"/>
    <w:rsid w:val="004C273F"/>
    <w:rsid w:val="004C2F17"/>
    <w:rsid w:val="004C314F"/>
    <w:rsid w:val="004C349D"/>
    <w:rsid w:val="004C385B"/>
    <w:rsid w:val="004C4390"/>
    <w:rsid w:val="004C48CF"/>
    <w:rsid w:val="004C4921"/>
    <w:rsid w:val="004C5595"/>
    <w:rsid w:val="004C58D5"/>
    <w:rsid w:val="004C6593"/>
    <w:rsid w:val="004C6A32"/>
    <w:rsid w:val="004C6CF9"/>
    <w:rsid w:val="004C7664"/>
    <w:rsid w:val="004D0140"/>
    <w:rsid w:val="004D054D"/>
    <w:rsid w:val="004D0B8B"/>
    <w:rsid w:val="004D13E6"/>
    <w:rsid w:val="004D25FA"/>
    <w:rsid w:val="004D2AB5"/>
    <w:rsid w:val="004D2BAF"/>
    <w:rsid w:val="004D2D4E"/>
    <w:rsid w:val="004D303A"/>
    <w:rsid w:val="004D3102"/>
    <w:rsid w:val="004D3A35"/>
    <w:rsid w:val="004D5AAA"/>
    <w:rsid w:val="004D65DD"/>
    <w:rsid w:val="004D709B"/>
    <w:rsid w:val="004D74B1"/>
    <w:rsid w:val="004E0007"/>
    <w:rsid w:val="004E02A9"/>
    <w:rsid w:val="004E0658"/>
    <w:rsid w:val="004E09BC"/>
    <w:rsid w:val="004E1739"/>
    <w:rsid w:val="004E1B85"/>
    <w:rsid w:val="004E1D0E"/>
    <w:rsid w:val="004E1EF5"/>
    <w:rsid w:val="004E3901"/>
    <w:rsid w:val="004E3B67"/>
    <w:rsid w:val="004E3FF5"/>
    <w:rsid w:val="004E4084"/>
    <w:rsid w:val="004E50C2"/>
    <w:rsid w:val="004E5416"/>
    <w:rsid w:val="004E5600"/>
    <w:rsid w:val="004E5735"/>
    <w:rsid w:val="004E57B2"/>
    <w:rsid w:val="004E5BDA"/>
    <w:rsid w:val="004E5F37"/>
    <w:rsid w:val="004E6E23"/>
    <w:rsid w:val="004E74E3"/>
    <w:rsid w:val="004E7502"/>
    <w:rsid w:val="004F01B9"/>
    <w:rsid w:val="004F02DF"/>
    <w:rsid w:val="004F1288"/>
    <w:rsid w:val="004F1296"/>
    <w:rsid w:val="004F1BDA"/>
    <w:rsid w:val="004F2465"/>
    <w:rsid w:val="004F24E8"/>
    <w:rsid w:val="004F2619"/>
    <w:rsid w:val="004F421F"/>
    <w:rsid w:val="004F4343"/>
    <w:rsid w:val="004F529A"/>
    <w:rsid w:val="004F5B82"/>
    <w:rsid w:val="004F6B26"/>
    <w:rsid w:val="004F6C74"/>
    <w:rsid w:val="004F757C"/>
    <w:rsid w:val="004F77FD"/>
    <w:rsid w:val="004F78E4"/>
    <w:rsid w:val="004F7ADD"/>
    <w:rsid w:val="00500928"/>
    <w:rsid w:val="00500CE9"/>
    <w:rsid w:val="00501F70"/>
    <w:rsid w:val="0050263D"/>
    <w:rsid w:val="00502CCA"/>
    <w:rsid w:val="0050355D"/>
    <w:rsid w:val="00503FE4"/>
    <w:rsid w:val="00504546"/>
    <w:rsid w:val="00504609"/>
    <w:rsid w:val="00506397"/>
    <w:rsid w:val="005073B4"/>
    <w:rsid w:val="00507BEE"/>
    <w:rsid w:val="00511457"/>
    <w:rsid w:val="00511A86"/>
    <w:rsid w:val="00513069"/>
    <w:rsid w:val="0051306A"/>
    <w:rsid w:val="0051396B"/>
    <w:rsid w:val="005139A5"/>
    <w:rsid w:val="0051428F"/>
    <w:rsid w:val="0051548E"/>
    <w:rsid w:val="00516355"/>
    <w:rsid w:val="0051690F"/>
    <w:rsid w:val="00516F84"/>
    <w:rsid w:val="005171E7"/>
    <w:rsid w:val="00517908"/>
    <w:rsid w:val="00517A78"/>
    <w:rsid w:val="00517FA3"/>
    <w:rsid w:val="005207B2"/>
    <w:rsid w:val="00520C10"/>
    <w:rsid w:val="00522708"/>
    <w:rsid w:val="0052369C"/>
    <w:rsid w:val="00523C51"/>
    <w:rsid w:val="00524305"/>
    <w:rsid w:val="00524454"/>
    <w:rsid w:val="0052455C"/>
    <w:rsid w:val="00525BC5"/>
    <w:rsid w:val="0052672A"/>
    <w:rsid w:val="005268A3"/>
    <w:rsid w:val="005303B6"/>
    <w:rsid w:val="00533425"/>
    <w:rsid w:val="0053495E"/>
    <w:rsid w:val="0053584B"/>
    <w:rsid w:val="00537613"/>
    <w:rsid w:val="00537E45"/>
    <w:rsid w:val="005408B6"/>
    <w:rsid w:val="0054111C"/>
    <w:rsid w:val="00541612"/>
    <w:rsid w:val="00541DD7"/>
    <w:rsid w:val="00543FAC"/>
    <w:rsid w:val="00544ABE"/>
    <w:rsid w:val="00545269"/>
    <w:rsid w:val="00546172"/>
    <w:rsid w:val="00546B6C"/>
    <w:rsid w:val="0055197E"/>
    <w:rsid w:val="00551FDA"/>
    <w:rsid w:val="005536B3"/>
    <w:rsid w:val="0055372A"/>
    <w:rsid w:val="00553AB9"/>
    <w:rsid w:val="00553EEB"/>
    <w:rsid w:val="0055639D"/>
    <w:rsid w:val="00556DB4"/>
    <w:rsid w:val="00557747"/>
    <w:rsid w:val="005600C3"/>
    <w:rsid w:val="00560B71"/>
    <w:rsid w:val="00561BF5"/>
    <w:rsid w:val="00561F42"/>
    <w:rsid w:val="005622DF"/>
    <w:rsid w:val="00562A34"/>
    <w:rsid w:val="00562E16"/>
    <w:rsid w:val="00564B81"/>
    <w:rsid w:val="00565BBA"/>
    <w:rsid w:val="00566253"/>
    <w:rsid w:val="00571AF3"/>
    <w:rsid w:val="005722A3"/>
    <w:rsid w:val="00572B6F"/>
    <w:rsid w:val="00574470"/>
    <w:rsid w:val="0057454B"/>
    <w:rsid w:val="00574924"/>
    <w:rsid w:val="00577834"/>
    <w:rsid w:val="00580BAB"/>
    <w:rsid w:val="00581B91"/>
    <w:rsid w:val="00581C44"/>
    <w:rsid w:val="00582196"/>
    <w:rsid w:val="00582A22"/>
    <w:rsid w:val="00583A22"/>
    <w:rsid w:val="00583DE7"/>
    <w:rsid w:val="00583E06"/>
    <w:rsid w:val="00583EF0"/>
    <w:rsid w:val="00585888"/>
    <w:rsid w:val="00586038"/>
    <w:rsid w:val="005861D4"/>
    <w:rsid w:val="005863AF"/>
    <w:rsid w:val="005869BB"/>
    <w:rsid w:val="00586E49"/>
    <w:rsid w:val="005917CC"/>
    <w:rsid w:val="00591E2E"/>
    <w:rsid w:val="0059211C"/>
    <w:rsid w:val="005923F9"/>
    <w:rsid w:val="005930EE"/>
    <w:rsid w:val="0059380B"/>
    <w:rsid w:val="005941EB"/>
    <w:rsid w:val="00594324"/>
    <w:rsid w:val="00595A5D"/>
    <w:rsid w:val="00595CBC"/>
    <w:rsid w:val="00595E5D"/>
    <w:rsid w:val="00596B7F"/>
    <w:rsid w:val="00597D84"/>
    <w:rsid w:val="005A07DE"/>
    <w:rsid w:val="005A0EDE"/>
    <w:rsid w:val="005A1A2F"/>
    <w:rsid w:val="005A1E13"/>
    <w:rsid w:val="005A207D"/>
    <w:rsid w:val="005A314B"/>
    <w:rsid w:val="005A5B24"/>
    <w:rsid w:val="005A5EE7"/>
    <w:rsid w:val="005A6F02"/>
    <w:rsid w:val="005A7A59"/>
    <w:rsid w:val="005B0016"/>
    <w:rsid w:val="005B0756"/>
    <w:rsid w:val="005B226E"/>
    <w:rsid w:val="005B2427"/>
    <w:rsid w:val="005B2F76"/>
    <w:rsid w:val="005B5056"/>
    <w:rsid w:val="005B619F"/>
    <w:rsid w:val="005B6241"/>
    <w:rsid w:val="005B681E"/>
    <w:rsid w:val="005B7162"/>
    <w:rsid w:val="005B7476"/>
    <w:rsid w:val="005B7696"/>
    <w:rsid w:val="005B775D"/>
    <w:rsid w:val="005B7E6E"/>
    <w:rsid w:val="005C0489"/>
    <w:rsid w:val="005C0F77"/>
    <w:rsid w:val="005C2066"/>
    <w:rsid w:val="005C215D"/>
    <w:rsid w:val="005C2655"/>
    <w:rsid w:val="005C2AE6"/>
    <w:rsid w:val="005C40B0"/>
    <w:rsid w:val="005C5D09"/>
    <w:rsid w:val="005C5E1F"/>
    <w:rsid w:val="005C663C"/>
    <w:rsid w:val="005C687E"/>
    <w:rsid w:val="005C760A"/>
    <w:rsid w:val="005D0647"/>
    <w:rsid w:val="005D08FD"/>
    <w:rsid w:val="005D0F4D"/>
    <w:rsid w:val="005D188A"/>
    <w:rsid w:val="005D199A"/>
    <w:rsid w:val="005D21B5"/>
    <w:rsid w:val="005D239B"/>
    <w:rsid w:val="005D2B37"/>
    <w:rsid w:val="005D2CB6"/>
    <w:rsid w:val="005D356C"/>
    <w:rsid w:val="005D3616"/>
    <w:rsid w:val="005D362C"/>
    <w:rsid w:val="005D38B1"/>
    <w:rsid w:val="005D3997"/>
    <w:rsid w:val="005D3CAC"/>
    <w:rsid w:val="005D3E01"/>
    <w:rsid w:val="005D3FDD"/>
    <w:rsid w:val="005D408F"/>
    <w:rsid w:val="005D46F7"/>
    <w:rsid w:val="005D483D"/>
    <w:rsid w:val="005D531E"/>
    <w:rsid w:val="005D5EC7"/>
    <w:rsid w:val="005D69BA"/>
    <w:rsid w:val="005D6B58"/>
    <w:rsid w:val="005D7563"/>
    <w:rsid w:val="005E0CA5"/>
    <w:rsid w:val="005E1E00"/>
    <w:rsid w:val="005E25F5"/>
    <w:rsid w:val="005E30B4"/>
    <w:rsid w:val="005E38C0"/>
    <w:rsid w:val="005E3F4A"/>
    <w:rsid w:val="005E422C"/>
    <w:rsid w:val="005E467B"/>
    <w:rsid w:val="005E4E75"/>
    <w:rsid w:val="005E5456"/>
    <w:rsid w:val="005E54DE"/>
    <w:rsid w:val="005E6CBC"/>
    <w:rsid w:val="005E703D"/>
    <w:rsid w:val="005E7044"/>
    <w:rsid w:val="005E7561"/>
    <w:rsid w:val="005E7B42"/>
    <w:rsid w:val="005F03B7"/>
    <w:rsid w:val="005F0B5C"/>
    <w:rsid w:val="005F17BA"/>
    <w:rsid w:val="005F1B09"/>
    <w:rsid w:val="005F25A4"/>
    <w:rsid w:val="005F5125"/>
    <w:rsid w:val="005F54ED"/>
    <w:rsid w:val="005F5D53"/>
    <w:rsid w:val="005F612D"/>
    <w:rsid w:val="005F62CB"/>
    <w:rsid w:val="005F62EB"/>
    <w:rsid w:val="005F6506"/>
    <w:rsid w:val="005F761A"/>
    <w:rsid w:val="005F7F0B"/>
    <w:rsid w:val="006001A8"/>
    <w:rsid w:val="006011FA"/>
    <w:rsid w:val="0060138F"/>
    <w:rsid w:val="00601BBA"/>
    <w:rsid w:val="00601CE3"/>
    <w:rsid w:val="00601DDB"/>
    <w:rsid w:val="00602621"/>
    <w:rsid w:val="006027DB"/>
    <w:rsid w:val="00603236"/>
    <w:rsid w:val="00603B17"/>
    <w:rsid w:val="00604BA5"/>
    <w:rsid w:val="006050DC"/>
    <w:rsid w:val="00605A3F"/>
    <w:rsid w:val="006061F9"/>
    <w:rsid w:val="006119FB"/>
    <w:rsid w:val="00611B25"/>
    <w:rsid w:val="0061203E"/>
    <w:rsid w:val="00612C4B"/>
    <w:rsid w:val="006132F5"/>
    <w:rsid w:val="00613A4F"/>
    <w:rsid w:val="00614008"/>
    <w:rsid w:val="0061467D"/>
    <w:rsid w:val="00614C82"/>
    <w:rsid w:val="006157D7"/>
    <w:rsid w:val="006169FF"/>
    <w:rsid w:val="00617A15"/>
    <w:rsid w:val="0062023A"/>
    <w:rsid w:val="00620EEA"/>
    <w:rsid w:val="006213A3"/>
    <w:rsid w:val="00621F75"/>
    <w:rsid w:val="006224F1"/>
    <w:rsid w:val="006234E1"/>
    <w:rsid w:val="006238D3"/>
    <w:rsid w:val="0062400A"/>
    <w:rsid w:val="00625384"/>
    <w:rsid w:val="0062693F"/>
    <w:rsid w:val="00627BC9"/>
    <w:rsid w:val="00630EA8"/>
    <w:rsid w:val="006312A8"/>
    <w:rsid w:val="00631976"/>
    <w:rsid w:val="006325BA"/>
    <w:rsid w:val="00632C58"/>
    <w:rsid w:val="00632DBD"/>
    <w:rsid w:val="00632E0E"/>
    <w:rsid w:val="0063388D"/>
    <w:rsid w:val="00633C24"/>
    <w:rsid w:val="0063408A"/>
    <w:rsid w:val="006342A3"/>
    <w:rsid w:val="00634D7F"/>
    <w:rsid w:val="00634EA6"/>
    <w:rsid w:val="00635378"/>
    <w:rsid w:val="00635458"/>
    <w:rsid w:val="00635ACB"/>
    <w:rsid w:val="00635B89"/>
    <w:rsid w:val="00635D83"/>
    <w:rsid w:val="00636F05"/>
    <w:rsid w:val="006379D0"/>
    <w:rsid w:val="006406A9"/>
    <w:rsid w:val="0064133B"/>
    <w:rsid w:val="00642F6F"/>
    <w:rsid w:val="00643CEC"/>
    <w:rsid w:val="00644A9D"/>
    <w:rsid w:val="00646406"/>
    <w:rsid w:val="006469B8"/>
    <w:rsid w:val="00646F84"/>
    <w:rsid w:val="0064740E"/>
    <w:rsid w:val="00647887"/>
    <w:rsid w:val="00647FF8"/>
    <w:rsid w:val="0065052C"/>
    <w:rsid w:val="0065166B"/>
    <w:rsid w:val="00651964"/>
    <w:rsid w:val="00651D8A"/>
    <w:rsid w:val="0065372B"/>
    <w:rsid w:val="006540C2"/>
    <w:rsid w:val="006544EE"/>
    <w:rsid w:val="00655717"/>
    <w:rsid w:val="00660A8C"/>
    <w:rsid w:val="00660FCB"/>
    <w:rsid w:val="0066106B"/>
    <w:rsid w:val="006616DA"/>
    <w:rsid w:val="00661BBA"/>
    <w:rsid w:val="006627A2"/>
    <w:rsid w:val="006629F2"/>
    <w:rsid w:val="006649F9"/>
    <w:rsid w:val="00664BD5"/>
    <w:rsid w:val="00664C91"/>
    <w:rsid w:val="00665172"/>
    <w:rsid w:val="006656C6"/>
    <w:rsid w:val="00665816"/>
    <w:rsid w:val="0066583D"/>
    <w:rsid w:val="0066586F"/>
    <w:rsid w:val="00665FE7"/>
    <w:rsid w:val="00665FFC"/>
    <w:rsid w:val="006677CB"/>
    <w:rsid w:val="00670692"/>
    <w:rsid w:val="00670B39"/>
    <w:rsid w:val="006713C7"/>
    <w:rsid w:val="006719C1"/>
    <w:rsid w:val="00671E68"/>
    <w:rsid w:val="006727EC"/>
    <w:rsid w:val="00672E39"/>
    <w:rsid w:val="00673006"/>
    <w:rsid w:val="00673219"/>
    <w:rsid w:val="00673CD5"/>
    <w:rsid w:val="00674DF4"/>
    <w:rsid w:val="006750EA"/>
    <w:rsid w:val="006753EB"/>
    <w:rsid w:val="00677B3B"/>
    <w:rsid w:val="00677F3E"/>
    <w:rsid w:val="00680990"/>
    <w:rsid w:val="00680EF3"/>
    <w:rsid w:val="00682BE3"/>
    <w:rsid w:val="00682EE2"/>
    <w:rsid w:val="0068373D"/>
    <w:rsid w:val="00684AB4"/>
    <w:rsid w:val="00685CD3"/>
    <w:rsid w:val="00685D13"/>
    <w:rsid w:val="00685D8B"/>
    <w:rsid w:val="00686141"/>
    <w:rsid w:val="006861E2"/>
    <w:rsid w:val="00687162"/>
    <w:rsid w:val="00690634"/>
    <w:rsid w:val="006910BE"/>
    <w:rsid w:val="00691988"/>
    <w:rsid w:val="0069340E"/>
    <w:rsid w:val="006942AE"/>
    <w:rsid w:val="0069463D"/>
    <w:rsid w:val="00694653"/>
    <w:rsid w:val="00694A38"/>
    <w:rsid w:val="0069660B"/>
    <w:rsid w:val="00696B07"/>
    <w:rsid w:val="00696D46"/>
    <w:rsid w:val="006A0057"/>
    <w:rsid w:val="006A0545"/>
    <w:rsid w:val="006A07E8"/>
    <w:rsid w:val="006A0BE0"/>
    <w:rsid w:val="006A1109"/>
    <w:rsid w:val="006A1342"/>
    <w:rsid w:val="006A1BFD"/>
    <w:rsid w:val="006A2D10"/>
    <w:rsid w:val="006A2D64"/>
    <w:rsid w:val="006A2DF1"/>
    <w:rsid w:val="006A3023"/>
    <w:rsid w:val="006A32C2"/>
    <w:rsid w:val="006A32C8"/>
    <w:rsid w:val="006A4BAF"/>
    <w:rsid w:val="006A55C6"/>
    <w:rsid w:val="006A5663"/>
    <w:rsid w:val="006A6865"/>
    <w:rsid w:val="006A6D47"/>
    <w:rsid w:val="006A72B5"/>
    <w:rsid w:val="006B03F1"/>
    <w:rsid w:val="006B0B60"/>
    <w:rsid w:val="006B1439"/>
    <w:rsid w:val="006B15CE"/>
    <w:rsid w:val="006B1851"/>
    <w:rsid w:val="006B2498"/>
    <w:rsid w:val="006B28B1"/>
    <w:rsid w:val="006B29F2"/>
    <w:rsid w:val="006B3306"/>
    <w:rsid w:val="006B3B96"/>
    <w:rsid w:val="006B483C"/>
    <w:rsid w:val="006B4BAE"/>
    <w:rsid w:val="006B53D0"/>
    <w:rsid w:val="006B54BE"/>
    <w:rsid w:val="006B57D3"/>
    <w:rsid w:val="006B6699"/>
    <w:rsid w:val="006B7907"/>
    <w:rsid w:val="006B7B95"/>
    <w:rsid w:val="006B7EBF"/>
    <w:rsid w:val="006C1D35"/>
    <w:rsid w:val="006C38D3"/>
    <w:rsid w:val="006C45B2"/>
    <w:rsid w:val="006C4945"/>
    <w:rsid w:val="006C5231"/>
    <w:rsid w:val="006C5F5F"/>
    <w:rsid w:val="006C60C3"/>
    <w:rsid w:val="006C6811"/>
    <w:rsid w:val="006C6EA4"/>
    <w:rsid w:val="006C7DD3"/>
    <w:rsid w:val="006D0182"/>
    <w:rsid w:val="006D03B7"/>
    <w:rsid w:val="006D0A69"/>
    <w:rsid w:val="006D0C13"/>
    <w:rsid w:val="006D0C5C"/>
    <w:rsid w:val="006D23B7"/>
    <w:rsid w:val="006D242C"/>
    <w:rsid w:val="006D303E"/>
    <w:rsid w:val="006D30CD"/>
    <w:rsid w:val="006D3171"/>
    <w:rsid w:val="006D395A"/>
    <w:rsid w:val="006D511F"/>
    <w:rsid w:val="006D5457"/>
    <w:rsid w:val="006D5D35"/>
    <w:rsid w:val="006D67AF"/>
    <w:rsid w:val="006D6F91"/>
    <w:rsid w:val="006D714E"/>
    <w:rsid w:val="006D7523"/>
    <w:rsid w:val="006D78B1"/>
    <w:rsid w:val="006E0A24"/>
    <w:rsid w:val="006E0DE9"/>
    <w:rsid w:val="006E0F50"/>
    <w:rsid w:val="006E2074"/>
    <w:rsid w:val="006E223F"/>
    <w:rsid w:val="006E280D"/>
    <w:rsid w:val="006E36A6"/>
    <w:rsid w:val="006E4A4E"/>
    <w:rsid w:val="006E53BA"/>
    <w:rsid w:val="006E58E6"/>
    <w:rsid w:val="006E5AB4"/>
    <w:rsid w:val="006E692D"/>
    <w:rsid w:val="006E6958"/>
    <w:rsid w:val="006E6C86"/>
    <w:rsid w:val="006E798C"/>
    <w:rsid w:val="006F0336"/>
    <w:rsid w:val="006F0943"/>
    <w:rsid w:val="006F216F"/>
    <w:rsid w:val="006F34A5"/>
    <w:rsid w:val="006F3C5C"/>
    <w:rsid w:val="006F552E"/>
    <w:rsid w:val="006F5B2C"/>
    <w:rsid w:val="006F6511"/>
    <w:rsid w:val="006F68CD"/>
    <w:rsid w:val="006F7256"/>
    <w:rsid w:val="006F7872"/>
    <w:rsid w:val="006F7C7C"/>
    <w:rsid w:val="006F7DE5"/>
    <w:rsid w:val="00700B7D"/>
    <w:rsid w:val="00700F7A"/>
    <w:rsid w:val="007012C7"/>
    <w:rsid w:val="0070226F"/>
    <w:rsid w:val="007026EB"/>
    <w:rsid w:val="00702CB2"/>
    <w:rsid w:val="0070328A"/>
    <w:rsid w:val="0070391D"/>
    <w:rsid w:val="00703C95"/>
    <w:rsid w:val="0070490D"/>
    <w:rsid w:val="00705033"/>
    <w:rsid w:val="0070529B"/>
    <w:rsid w:val="007056D6"/>
    <w:rsid w:val="0070602D"/>
    <w:rsid w:val="00706820"/>
    <w:rsid w:val="00707E45"/>
    <w:rsid w:val="0071041E"/>
    <w:rsid w:val="00710976"/>
    <w:rsid w:val="007131AF"/>
    <w:rsid w:val="00716253"/>
    <w:rsid w:val="007166DD"/>
    <w:rsid w:val="00716B5F"/>
    <w:rsid w:val="00717C01"/>
    <w:rsid w:val="007212A1"/>
    <w:rsid w:val="007216C0"/>
    <w:rsid w:val="00721771"/>
    <w:rsid w:val="00721FD4"/>
    <w:rsid w:val="0072332D"/>
    <w:rsid w:val="00723924"/>
    <w:rsid w:val="00723B0F"/>
    <w:rsid w:val="00723BB2"/>
    <w:rsid w:val="0072432E"/>
    <w:rsid w:val="00725472"/>
    <w:rsid w:val="0072579A"/>
    <w:rsid w:val="00725BD6"/>
    <w:rsid w:val="007313DF"/>
    <w:rsid w:val="00731B2B"/>
    <w:rsid w:val="00731EE2"/>
    <w:rsid w:val="0073227C"/>
    <w:rsid w:val="007339B6"/>
    <w:rsid w:val="00734583"/>
    <w:rsid w:val="0073495C"/>
    <w:rsid w:val="00734E1E"/>
    <w:rsid w:val="00735E4C"/>
    <w:rsid w:val="00736628"/>
    <w:rsid w:val="00736F62"/>
    <w:rsid w:val="007418F3"/>
    <w:rsid w:val="00741C1F"/>
    <w:rsid w:val="00742DF4"/>
    <w:rsid w:val="00743512"/>
    <w:rsid w:val="007449F8"/>
    <w:rsid w:val="007453D5"/>
    <w:rsid w:val="007455C6"/>
    <w:rsid w:val="00745BCD"/>
    <w:rsid w:val="00745E08"/>
    <w:rsid w:val="0074621F"/>
    <w:rsid w:val="00746239"/>
    <w:rsid w:val="00747150"/>
    <w:rsid w:val="007503A9"/>
    <w:rsid w:val="00750909"/>
    <w:rsid w:val="00750EEB"/>
    <w:rsid w:val="0075166B"/>
    <w:rsid w:val="00751748"/>
    <w:rsid w:val="007527C8"/>
    <w:rsid w:val="00752FFA"/>
    <w:rsid w:val="00753584"/>
    <w:rsid w:val="00753AB3"/>
    <w:rsid w:val="00753B4A"/>
    <w:rsid w:val="00753D3C"/>
    <w:rsid w:val="0075567F"/>
    <w:rsid w:val="00755845"/>
    <w:rsid w:val="0075659F"/>
    <w:rsid w:val="007567E4"/>
    <w:rsid w:val="00756E35"/>
    <w:rsid w:val="00757998"/>
    <w:rsid w:val="00757A67"/>
    <w:rsid w:val="0076025F"/>
    <w:rsid w:val="00760291"/>
    <w:rsid w:val="00760FA5"/>
    <w:rsid w:val="00761358"/>
    <w:rsid w:val="00761B9A"/>
    <w:rsid w:val="00762494"/>
    <w:rsid w:val="00762B2B"/>
    <w:rsid w:val="0076327D"/>
    <w:rsid w:val="007633AF"/>
    <w:rsid w:val="0076342E"/>
    <w:rsid w:val="00763E2C"/>
    <w:rsid w:val="00763E5E"/>
    <w:rsid w:val="0076400E"/>
    <w:rsid w:val="00766269"/>
    <w:rsid w:val="007667D1"/>
    <w:rsid w:val="007669AE"/>
    <w:rsid w:val="00766FFF"/>
    <w:rsid w:val="007702FE"/>
    <w:rsid w:val="00770803"/>
    <w:rsid w:val="00770C86"/>
    <w:rsid w:val="00770FE5"/>
    <w:rsid w:val="00771663"/>
    <w:rsid w:val="00772A50"/>
    <w:rsid w:val="00772DB9"/>
    <w:rsid w:val="00773921"/>
    <w:rsid w:val="007756E4"/>
    <w:rsid w:val="00775979"/>
    <w:rsid w:val="00775CBB"/>
    <w:rsid w:val="00776C98"/>
    <w:rsid w:val="007773B0"/>
    <w:rsid w:val="00777DE9"/>
    <w:rsid w:val="007805E4"/>
    <w:rsid w:val="007809E6"/>
    <w:rsid w:val="00780ADC"/>
    <w:rsid w:val="00780DA6"/>
    <w:rsid w:val="00780FB1"/>
    <w:rsid w:val="00781530"/>
    <w:rsid w:val="00783970"/>
    <w:rsid w:val="007839B1"/>
    <w:rsid w:val="00784E9E"/>
    <w:rsid w:val="00786DEF"/>
    <w:rsid w:val="0078720C"/>
    <w:rsid w:val="00791667"/>
    <w:rsid w:val="00791D55"/>
    <w:rsid w:val="00791FFF"/>
    <w:rsid w:val="00792046"/>
    <w:rsid w:val="00792B76"/>
    <w:rsid w:val="00793E2B"/>
    <w:rsid w:val="0079417A"/>
    <w:rsid w:val="00795E75"/>
    <w:rsid w:val="007965D4"/>
    <w:rsid w:val="007977EC"/>
    <w:rsid w:val="007979EC"/>
    <w:rsid w:val="007A17FB"/>
    <w:rsid w:val="007A2B48"/>
    <w:rsid w:val="007A2B84"/>
    <w:rsid w:val="007A2C10"/>
    <w:rsid w:val="007A2D7B"/>
    <w:rsid w:val="007A3057"/>
    <w:rsid w:val="007A3C23"/>
    <w:rsid w:val="007A446D"/>
    <w:rsid w:val="007A4CFA"/>
    <w:rsid w:val="007A51C8"/>
    <w:rsid w:val="007A56C2"/>
    <w:rsid w:val="007A5A5E"/>
    <w:rsid w:val="007A5F1E"/>
    <w:rsid w:val="007A6E6D"/>
    <w:rsid w:val="007A7014"/>
    <w:rsid w:val="007B09A1"/>
    <w:rsid w:val="007B0B9F"/>
    <w:rsid w:val="007B11D2"/>
    <w:rsid w:val="007B33C5"/>
    <w:rsid w:val="007B3478"/>
    <w:rsid w:val="007B3CDC"/>
    <w:rsid w:val="007B422F"/>
    <w:rsid w:val="007B49AE"/>
    <w:rsid w:val="007B4B47"/>
    <w:rsid w:val="007B4F36"/>
    <w:rsid w:val="007B59D0"/>
    <w:rsid w:val="007B5EDA"/>
    <w:rsid w:val="007B6AB9"/>
    <w:rsid w:val="007B6E80"/>
    <w:rsid w:val="007B7792"/>
    <w:rsid w:val="007C11C0"/>
    <w:rsid w:val="007C1C6B"/>
    <w:rsid w:val="007C1EB6"/>
    <w:rsid w:val="007C2951"/>
    <w:rsid w:val="007C2968"/>
    <w:rsid w:val="007C4D54"/>
    <w:rsid w:val="007C5AC2"/>
    <w:rsid w:val="007C7334"/>
    <w:rsid w:val="007D0308"/>
    <w:rsid w:val="007D09C8"/>
    <w:rsid w:val="007D19E8"/>
    <w:rsid w:val="007D1A68"/>
    <w:rsid w:val="007D240A"/>
    <w:rsid w:val="007D3064"/>
    <w:rsid w:val="007D4C77"/>
    <w:rsid w:val="007D4EEC"/>
    <w:rsid w:val="007D694A"/>
    <w:rsid w:val="007D7230"/>
    <w:rsid w:val="007D74FF"/>
    <w:rsid w:val="007D7571"/>
    <w:rsid w:val="007D773C"/>
    <w:rsid w:val="007E0828"/>
    <w:rsid w:val="007E0C80"/>
    <w:rsid w:val="007E23F6"/>
    <w:rsid w:val="007E318D"/>
    <w:rsid w:val="007E4378"/>
    <w:rsid w:val="007E46B4"/>
    <w:rsid w:val="007E4EF1"/>
    <w:rsid w:val="007E5755"/>
    <w:rsid w:val="007E58DC"/>
    <w:rsid w:val="007E5C02"/>
    <w:rsid w:val="007E600A"/>
    <w:rsid w:val="007E603A"/>
    <w:rsid w:val="007E77C5"/>
    <w:rsid w:val="007E7A4B"/>
    <w:rsid w:val="007E7E26"/>
    <w:rsid w:val="007F14E7"/>
    <w:rsid w:val="007F15C8"/>
    <w:rsid w:val="007F17D9"/>
    <w:rsid w:val="007F1CA2"/>
    <w:rsid w:val="007F282D"/>
    <w:rsid w:val="007F41A2"/>
    <w:rsid w:val="007F45FA"/>
    <w:rsid w:val="007F499B"/>
    <w:rsid w:val="007F4C34"/>
    <w:rsid w:val="007F4D15"/>
    <w:rsid w:val="007F51F5"/>
    <w:rsid w:val="007F660A"/>
    <w:rsid w:val="007F68E4"/>
    <w:rsid w:val="007F7713"/>
    <w:rsid w:val="007F7E16"/>
    <w:rsid w:val="00800E2E"/>
    <w:rsid w:val="008015BE"/>
    <w:rsid w:val="0080171B"/>
    <w:rsid w:val="00801DB5"/>
    <w:rsid w:val="008029F6"/>
    <w:rsid w:val="00802ADF"/>
    <w:rsid w:val="00803027"/>
    <w:rsid w:val="00804A3D"/>
    <w:rsid w:val="00804D09"/>
    <w:rsid w:val="00804F1F"/>
    <w:rsid w:val="00805293"/>
    <w:rsid w:val="008056E1"/>
    <w:rsid w:val="00805A55"/>
    <w:rsid w:val="00806C1D"/>
    <w:rsid w:val="00807B54"/>
    <w:rsid w:val="00810500"/>
    <w:rsid w:val="00810863"/>
    <w:rsid w:val="00811667"/>
    <w:rsid w:val="00811A00"/>
    <w:rsid w:val="008130A9"/>
    <w:rsid w:val="00813EB8"/>
    <w:rsid w:val="008147E1"/>
    <w:rsid w:val="00815335"/>
    <w:rsid w:val="0081639A"/>
    <w:rsid w:val="0081700B"/>
    <w:rsid w:val="008176B9"/>
    <w:rsid w:val="008176E0"/>
    <w:rsid w:val="008176F5"/>
    <w:rsid w:val="00817D46"/>
    <w:rsid w:val="00820EB5"/>
    <w:rsid w:val="00821F3B"/>
    <w:rsid w:val="00822369"/>
    <w:rsid w:val="008228DC"/>
    <w:rsid w:val="00823348"/>
    <w:rsid w:val="0082362F"/>
    <w:rsid w:val="00823A34"/>
    <w:rsid w:val="00823AE4"/>
    <w:rsid w:val="00823C03"/>
    <w:rsid w:val="00824305"/>
    <w:rsid w:val="00824F66"/>
    <w:rsid w:val="0082619D"/>
    <w:rsid w:val="008270FF"/>
    <w:rsid w:val="00827AC2"/>
    <w:rsid w:val="008300EA"/>
    <w:rsid w:val="00830660"/>
    <w:rsid w:val="00830806"/>
    <w:rsid w:val="008311F3"/>
    <w:rsid w:val="00831C87"/>
    <w:rsid w:val="00831FD6"/>
    <w:rsid w:val="0083221E"/>
    <w:rsid w:val="008326BE"/>
    <w:rsid w:val="00833319"/>
    <w:rsid w:val="00833480"/>
    <w:rsid w:val="00833999"/>
    <w:rsid w:val="00833DFE"/>
    <w:rsid w:val="00834509"/>
    <w:rsid w:val="00835BE9"/>
    <w:rsid w:val="00836DC0"/>
    <w:rsid w:val="00836E74"/>
    <w:rsid w:val="00837515"/>
    <w:rsid w:val="00837D14"/>
    <w:rsid w:val="00840361"/>
    <w:rsid w:val="00840950"/>
    <w:rsid w:val="00840C75"/>
    <w:rsid w:val="00840EFB"/>
    <w:rsid w:val="00841F38"/>
    <w:rsid w:val="00842653"/>
    <w:rsid w:val="0084299F"/>
    <w:rsid w:val="00843234"/>
    <w:rsid w:val="008454DA"/>
    <w:rsid w:val="00845745"/>
    <w:rsid w:val="00845840"/>
    <w:rsid w:val="00846A8A"/>
    <w:rsid w:val="008475D0"/>
    <w:rsid w:val="00847627"/>
    <w:rsid w:val="008510AF"/>
    <w:rsid w:val="00852D1D"/>
    <w:rsid w:val="00853302"/>
    <w:rsid w:val="008533B3"/>
    <w:rsid w:val="008547B8"/>
    <w:rsid w:val="008553E0"/>
    <w:rsid w:val="0085645F"/>
    <w:rsid w:val="008564EC"/>
    <w:rsid w:val="00856818"/>
    <w:rsid w:val="00861CAC"/>
    <w:rsid w:val="008622F3"/>
    <w:rsid w:val="00862994"/>
    <w:rsid w:val="00862F07"/>
    <w:rsid w:val="00863326"/>
    <w:rsid w:val="00863440"/>
    <w:rsid w:val="00863733"/>
    <w:rsid w:val="00863944"/>
    <w:rsid w:val="00863B00"/>
    <w:rsid w:val="00864563"/>
    <w:rsid w:val="0086504A"/>
    <w:rsid w:val="00866033"/>
    <w:rsid w:val="00866E15"/>
    <w:rsid w:val="00867944"/>
    <w:rsid w:val="00867ED1"/>
    <w:rsid w:val="00871031"/>
    <w:rsid w:val="008711E6"/>
    <w:rsid w:val="008711EC"/>
    <w:rsid w:val="008712AF"/>
    <w:rsid w:val="00871766"/>
    <w:rsid w:val="0087186B"/>
    <w:rsid w:val="00872B97"/>
    <w:rsid w:val="00872E79"/>
    <w:rsid w:val="00873180"/>
    <w:rsid w:val="00873427"/>
    <w:rsid w:val="00873B46"/>
    <w:rsid w:val="00874824"/>
    <w:rsid w:val="00874DAD"/>
    <w:rsid w:val="008757B6"/>
    <w:rsid w:val="00875CEC"/>
    <w:rsid w:val="008761F2"/>
    <w:rsid w:val="0087644E"/>
    <w:rsid w:val="00876BE1"/>
    <w:rsid w:val="00877527"/>
    <w:rsid w:val="00880BC1"/>
    <w:rsid w:val="008819AF"/>
    <w:rsid w:val="008826B6"/>
    <w:rsid w:val="0088292E"/>
    <w:rsid w:val="00883E61"/>
    <w:rsid w:val="008840B4"/>
    <w:rsid w:val="008840E2"/>
    <w:rsid w:val="00884DA2"/>
    <w:rsid w:val="008855EA"/>
    <w:rsid w:val="00885E4B"/>
    <w:rsid w:val="008860FF"/>
    <w:rsid w:val="00886979"/>
    <w:rsid w:val="00887C19"/>
    <w:rsid w:val="00887D52"/>
    <w:rsid w:val="00887E65"/>
    <w:rsid w:val="00891629"/>
    <w:rsid w:val="00891CA6"/>
    <w:rsid w:val="008921B2"/>
    <w:rsid w:val="008921B4"/>
    <w:rsid w:val="00892B44"/>
    <w:rsid w:val="00892E1D"/>
    <w:rsid w:val="008941FC"/>
    <w:rsid w:val="008945DC"/>
    <w:rsid w:val="00894676"/>
    <w:rsid w:val="00894C8E"/>
    <w:rsid w:val="008958F3"/>
    <w:rsid w:val="00896D6A"/>
    <w:rsid w:val="008976BB"/>
    <w:rsid w:val="00897DDA"/>
    <w:rsid w:val="00897E44"/>
    <w:rsid w:val="008A0207"/>
    <w:rsid w:val="008A0635"/>
    <w:rsid w:val="008A1140"/>
    <w:rsid w:val="008A13FA"/>
    <w:rsid w:val="008A16A4"/>
    <w:rsid w:val="008A1D52"/>
    <w:rsid w:val="008A1E2B"/>
    <w:rsid w:val="008A21A6"/>
    <w:rsid w:val="008A2722"/>
    <w:rsid w:val="008A2AD7"/>
    <w:rsid w:val="008A2E0F"/>
    <w:rsid w:val="008A3540"/>
    <w:rsid w:val="008A4BF2"/>
    <w:rsid w:val="008A4C92"/>
    <w:rsid w:val="008A5E73"/>
    <w:rsid w:val="008A67A4"/>
    <w:rsid w:val="008A6B5A"/>
    <w:rsid w:val="008A6D11"/>
    <w:rsid w:val="008A6E12"/>
    <w:rsid w:val="008A7042"/>
    <w:rsid w:val="008A721B"/>
    <w:rsid w:val="008A7423"/>
    <w:rsid w:val="008A7F7E"/>
    <w:rsid w:val="008B184F"/>
    <w:rsid w:val="008B1B45"/>
    <w:rsid w:val="008B238C"/>
    <w:rsid w:val="008B52D1"/>
    <w:rsid w:val="008B5ED1"/>
    <w:rsid w:val="008B6215"/>
    <w:rsid w:val="008B702D"/>
    <w:rsid w:val="008B791C"/>
    <w:rsid w:val="008B7F37"/>
    <w:rsid w:val="008C099F"/>
    <w:rsid w:val="008C0A19"/>
    <w:rsid w:val="008C0CFF"/>
    <w:rsid w:val="008C1261"/>
    <w:rsid w:val="008C1401"/>
    <w:rsid w:val="008C1A58"/>
    <w:rsid w:val="008C1FA6"/>
    <w:rsid w:val="008C2375"/>
    <w:rsid w:val="008C247C"/>
    <w:rsid w:val="008C24F7"/>
    <w:rsid w:val="008C2519"/>
    <w:rsid w:val="008C2755"/>
    <w:rsid w:val="008C29C4"/>
    <w:rsid w:val="008C3620"/>
    <w:rsid w:val="008C4260"/>
    <w:rsid w:val="008C44B7"/>
    <w:rsid w:val="008C4531"/>
    <w:rsid w:val="008C545E"/>
    <w:rsid w:val="008C65CA"/>
    <w:rsid w:val="008C69FA"/>
    <w:rsid w:val="008C71E5"/>
    <w:rsid w:val="008C7B0B"/>
    <w:rsid w:val="008D028D"/>
    <w:rsid w:val="008D1560"/>
    <w:rsid w:val="008D1EC3"/>
    <w:rsid w:val="008D292E"/>
    <w:rsid w:val="008D31A2"/>
    <w:rsid w:val="008D34EF"/>
    <w:rsid w:val="008D39A5"/>
    <w:rsid w:val="008D3B59"/>
    <w:rsid w:val="008D3CCE"/>
    <w:rsid w:val="008D3E20"/>
    <w:rsid w:val="008D5D38"/>
    <w:rsid w:val="008D631D"/>
    <w:rsid w:val="008D7484"/>
    <w:rsid w:val="008D74C7"/>
    <w:rsid w:val="008D78F5"/>
    <w:rsid w:val="008E0FBD"/>
    <w:rsid w:val="008E1785"/>
    <w:rsid w:val="008E31CE"/>
    <w:rsid w:val="008E35C9"/>
    <w:rsid w:val="008E5FE5"/>
    <w:rsid w:val="008E6377"/>
    <w:rsid w:val="008E6824"/>
    <w:rsid w:val="008E6D3E"/>
    <w:rsid w:val="008E6FED"/>
    <w:rsid w:val="008E714E"/>
    <w:rsid w:val="008E7278"/>
    <w:rsid w:val="008E77F4"/>
    <w:rsid w:val="008E7970"/>
    <w:rsid w:val="008F0130"/>
    <w:rsid w:val="008F035B"/>
    <w:rsid w:val="008F1230"/>
    <w:rsid w:val="008F1600"/>
    <w:rsid w:val="008F177F"/>
    <w:rsid w:val="008F2C54"/>
    <w:rsid w:val="008F3339"/>
    <w:rsid w:val="008F57D4"/>
    <w:rsid w:val="008F6906"/>
    <w:rsid w:val="008F6A26"/>
    <w:rsid w:val="008F6D5E"/>
    <w:rsid w:val="008F7171"/>
    <w:rsid w:val="008F7AD2"/>
    <w:rsid w:val="009009FF"/>
    <w:rsid w:val="009025B7"/>
    <w:rsid w:val="00904600"/>
    <w:rsid w:val="00904CC2"/>
    <w:rsid w:val="00905F4C"/>
    <w:rsid w:val="0090728B"/>
    <w:rsid w:val="00907BA0"/>
    <w:rsid w:val="009111AA"/>
    <w:rsid w:val="009119E2"/>
    <w:rsid w:val="0091241F"/>
    <w:rsid w:val="00912710"/>
    <w:rsid w:val="009130AE"/>
    <w:rsid w:val="0091491C"/>
    <w:rsid w:val="00914D7E"/>
    <w:rsid w:val="009152D2"/>
    <w:rsid w:val="00916272"/>
    <w:rsid w:val="00916840"/>
    <w:rsid w:val="00916A75"/>
    <w:rsid w:val="00916D0B"/>
    <w:rsid w:val="009173E2"/>
    <w:rsid w:val="00917D0E"/>
    <w:rsid w:val="00920F2F"/>
    <w:rsid w:val="009214A3"/>
    <w:rsid w:val="00921B2F"/>
    <w:rsid w:val="009220A0"/>
    <w:rsid w:val="009220E6"/>
    <w:rsid w:val="00922584"/>
    <w:rsid w:val="00924300"/>
    <w:rsid w:val="009247B9"/>
    <w:rsid w:val="009247EE"/>
    <w:rsid w:val="00924ADF"/>
    <w:rsid w:val="00924BAB"/>
    <w:rsid w:val="0092510F"/>
    <w:rsid w:val="00925231"/>
    <w:rsid w:val="00925BD4"/>
    <w:rsid w:val="00926383"/>
    <w:rsid w:val="00926C3C"/>
    <w:rsid w:val="00926F58"/>
    <w:rsid w:val="009302FA"/>
    <w:rsid w:val="0093073A"/>
    <w:rsid w:val="00930DE6"/>
    <w:rsid w:val="00931132"/>
    <w:rsid w:val="00932188"/>
    <w:rsid w:val="00932E45"/>
    <w:rsid w:val="009332AE"/>
    <w:rsid w:val="00935676"/>
    <w:rsid w:val="0093600A"/>
    <w:rsid w:val="00937E35"/>
    <w:rsid w:val="00937FAC"/>
    <w:rsid w:val="009412BA"/>
    <w:rsid w:val="009412E6"/>
    <w:rsid w:val="009420D8"/>
    <w:rsid w:val="009420EB"/>
    <w:rsid w:val="0094232A"/>
    <w:rsid w:val="0094279F"/>
    <w:rsid w:val="00942A6E"/>
    <w:rsid w:val="0094371C"/>
    <w:rsid w:val="00943E7C"/>
    <w:rsid w:val="00944173"/>
    <w:rsid w:val="0094424B"/>
    <w:rsid w:val="00944282"/>
    <w:rsid w:val="009447DC"/>
    <w:rsid w:val="0094500B"/>
    <w:rsid w:val="009458C0"/>
    <w:rsid w:val="0094597F"/>
    <w:rsid w:val="00945A9B"/>
    <w:rsid w:val="00946118"/>
    <w:rsid w:val="00946453"/>
    <w:rsid w:val="0094701B"/>
    <w:rsid w:val="009472B7"/>
    <w:rsid w:val="00947C88"/>
    <w:rsid w:val="0095029F"/>
    <w:rsid w:val="00951AF4"/>
    <w:rsid w:val="009526B2"/>
    <w:rsid w:val="00952BE2"/>
    <w:rsid w:val="00952F1B"/>
    <w:rsid w:val="009538A2"/>
    <w:rsid w:val="00953D81"/>
    <w:rsid w:val="009542E7"/>
    <w:rsid w:val="009545F8"/>
    <w:rsid w:val="0095481A"/>
    <w:rsid w:val="00954A0D"/>
    <w:rsid w:val="00956520"/>
    <w:rsid w:val="0095744B"/>
    <w:rsid w:val="00957659"/>
    <w:rsid w:val="009576DB"/>
    <w:rsid w:val="00957A9C"/>
    <w:rsid w:val="0096086A"/>
    <w:rsid w:val="00961931"/>
    <w:rsid w:val="00963BAA"/>
    <w:rsid w:val="0096415C"/>
    <w:rsid w:val="009647B9"/>
    <w:rsid w:val="00964E0A"/>
    <w:rsid w:val="00965058"/>
    <w:rsid w:val="009659AB"/>
    <w:rsid w:val="009662D3"/>
    <w:rsid w:val="00966D34"/>
    <w:rsid w:val="00967636"/>
    <w:rsid w:val="00970383"/>
    <w:rsid w:val="00970AA1"/>
    <w:rsid w:val="0097119F"/>
    <w:rsid w:val="00972907"/>
    <w:rsid w:val="00972977"/>
    <w:rsid w:val="00975B04"/>
    <w:rsid w:val="00975CBC"/>
    <w:rsid w:val="00976268"/>
    <w:rsid w:val="00976314"/>
    <w:rsid w:val="009769FD"/>
    <w:rsid w:val="00976B7E"/>
    <w:rsid w:val="00980141"/>
    <w:rsid w:val="00980780"/>
    <w:rsid w:val="00980C07"/>
    <w:rsid w:val="00982945"/>
    <w:rsid w:val="00983454"/>
    <w:rsid w:val="00983589"/>
    <w:rsid w:val="009840E0"/>
    <w:rsid w:val="009844A7"/>
    <w:rsid w:val="00984C57"/>
    <w:rsid w:val="009854F7"/>
    <w:rsid w:val="0098552E"/>
    <w:rsid w:val="0098570A"/>
    <w:rsid w:val="009859BE"/>
    <w:rsid w:val="009869F7"/>
    <w:rsid w:val="00987110"/>
    <w:rsid w:val="00987C1B"/>
    <w:rsid w:val="009906C0"/>
    <w:rsid w:val="00991915"/>
    <w:rsid w:val="009919C6"/>
    <w:rsid w:val="00992368"/>
    <w:rsid w:val="00993083"/>
    <w:rsid w:val="00993A8A"/>
    <w:rsid w:val="00994EDB"/>
    <w:rsid w:val="00995292"/>
    <w:rsid w:val="009959E3"/>
    <w:rsid w:val="00996601"/>
    <w:rsid w:val="00996D42"/>
    <w:rsid w:val="00996DF9"/>
    <w:rsid w:val="00997247"/>
    <w:rsid w:val="00997F7C"/>
    <w:rsid w:val="009A0C71"/>
    <w:rsid w:val="009A18B8"/>
    <w:rsid w:val="009A1A60"/>
    <w:rsid w:val="009A1C0B"/>
    <w:rsid w:val="009A1C41"/>
    <w:rsid w:val="009A2007"/>
    <w:rsid w:val="009A2567"/>
    <w:rsid w:val="009A294E"/>
    <w:rsid w:val="009A2E1D"/>
    <w:rsid w:val="009A2F19"/>
    <w:rsid w:val="009A3654"/>
    <w:rsid w:val="009A4DB1"/>
    <w:rsid w:val="009A5F2B"/>
    <w:rsid w:val="009A6987"/>
    <w:rsid w:val="009A6D45"/>
    <w:rsid w:val="009A76CE"/>
    <w:rsid w:val="009A7BB3"/>
    <w:rsid w:val="009B013A"/>
    <w:rsid w:val="009B0BD1"/>
    <w:rsid w:val="009B0CA6"/>
    <w:rsid w:val="009B0DB8"/>
    <w:rsid w:val="009B1A1C"/>
    <w:rsid w:val="009B30CD"/>
    <w:rsid w:val="009B334D"/>
    <w:rsid w:val="009B48D1"/>
    <w:rsid w:val="009B4AF7"/>
    <w:rsid w:val="009B4C48"/>
    <w:rsid w:val="009B5370"/>
    <w:rsid w:val="009B5A08"/>
    <w:rsid w:val="009B64AF"/>
    <w:rsid w:val="009B7B33"/>
    <w:rsid w:val="009C03D1"/>
    <w:rsid w:val="009C0CFE"/>
    <w:rsid w:val="009C188C"/>
    <w:rsid w:val="009C2705"/>
    <w:rsid w:val="009C2872"/>
    <w:rsid w:val="009C35B6"/>
    <w:rsid w:val="009C3E21"/>
    <w:rsid w:val="009C4A04"/>
    <w:rsid w:val="009C5956"/>
    <w:rsid w:val="009C5FE4"/>
    <w:rsid w:val="009C6EE1"/>
    <w:rsid w:val="009C730C"/>
    <w:rsid w:val="009C7A37"/>
    <w:rsid w:val="009C7D13"/>
    <w:rsid w:val="009D01A0"/>
    <w:rsid w:val="009D0654"/>
    <w:rsid w:val="009D1DD4"/>
    <w:rsid w:val="009D2403"/>
    <w:rsid w:val="009D2454"/>
    <w:rsid w:val="009D245D"/>
    <w:rsid w:val="009D342B"/>
    <w:rsid w:val="009D37B1"/>
    <w:rsid w:val="009D3B94"/>
    <w:rsid w:val="009D40C2"/>
    <w:rsid w:val="009D4A4E"/>
    <w:rsid w:val="009D4FD7"/>
    <w:rsid w:val="009D5773"/>
    <w:rsid w:val="009D6373"/>
    <w:rsid w:val="009D7258"/>
    <w:rsid w:val="009D771A"/>
    <w:rsid w:val="009E09CD"/>
    <w:rsid w:val="009E1017"/>
    <w:rsid w:val="009E2259"/>
    <w:rsid w:val="009E2430"/>
    <w:rsid w:val="009E3CC7"/>
    <w:rsid w:val="009E446C"/>
    <w:rsid w:val="009E4DC4"/>
    <w:rsid w:val="009E5978"/>
    <w:rsid w:val="009E621F"/>
    <w:rsid w:val="009E6BCC"/>
    <w:rsid w:val="009E7689"/>
    <w:rsid w:val="009E7DD5"/>
    <w:rsid w:val="009E7DDE"/>
    <w:rsid w:val="009F09FD"/>
    <w:rsid w:val="009F1417"/>
    <w:rsid w:val="009F145A"/>
    <w:rsid w:val="009F179C"/>
    <w:rsid w:val="009F1A46"/>
    <w:rsid w:val="009F1E99"/>
    <w:rsid w:val="009F238F"/>
    <w:rsid w:val="009F2BCB"/>
    <w:rsid w:val="009F34CB"/>
    <w:rsid w:val="009F4D01"/>
    <w:rsid w:val="009F5345"/>
    <w:rsid w:val="009F5724"/>
    <w:rsid w:val="009F5830"/>
    <w:rsid w:val="009F5F9C"/>
    <w:rsid w:val="009F6ABA"/>
    <w:rsid w:val="009F7C16"/>
    <w:rsid w:val="00A02771"/>
    <w:rsid w:val="00A02B06"/>
    <w:rsid w:val="00A03697"/>
    <w:rsid w:val="00A045B3"/>
    <w:rsid w:val="00A054D1"/>
    <w:rsid w:val="00A055C5"/>
    <w:rsid w:val="00A067BB"/>
    <w:rsid w:val="00A06A7D"/>
    <w:rsid w:val="00A06DDB"/>
    <w:rsid w:val="00A07166"/>
    <w:rsid w:val="00A07731"/>
    <w:rsid w:val="00A07E0A"/>
    <w:rsid w:val="00A1012A"/>
    <w:rsid w:val="00A1058D"/>
    <w:rsid w:val="00A113FB"/>
    <w:rsid w:val="00A116E9"/>
    <w:rsid w:val="00A11A0B"/>
    <w:rsid w:val="00A11CF6"/>
    <w:rsid w:val="00A11F11"/>
    <w:rsid w:val="00A127D7"/>
    <w:rsid w:val="00A128CD"/>
    <w:rsid w:val="00A12F65"/>
    <w:rsid w:val="00A13488"/>
    <w:rsid w:val="00A13FA5"/>
    <w:rsid w:val="00A1491E"/>
    <w:rsid w:val="00A14966"/>
    <w:rsid w:val="00A14D6D"/>
    <w:rsid w:val="00A15525"/>
    <w:rsid w:val="00A1568E"/>
    <w:rsid w:val="00A15B9B"/>
    <w:rsid w:val="00A16479"/>
    <w:rsid w:val="00A17254"/>
    <w:rsid w:val="00A17410"/>
    <w:rsid w:val="00A175C5"/>
    <w:rsid w:val="00A17A0F"/>
    <w:rsid w:val="00A17E24"/>
    <w:rsid w:val="00A219C7"/>
    <w:rsid w:val="00A2283B"/>
    <w:rsid w:val="00A22996"/>
    <w:rsid w:val="00A229D5"/>
    <w:rsid w:val="00A232AE"/>
    <w:rsid w:val="00A2394B"/>
    <w:rsid w:val="00A24B8E"/>
    <w:rsid w:val="00A24FDA"/>
    <w:rsid w:val="00A25ED0"/>
    <w:rsid w:val="00A2671C"/>
    <w:rsid w:val="00A26790"/>
    <w:rsid w:val="00A301FF"/>
    <w:rsid w:val="00A30BD0"/>
    <w:rsid w:val="00A31F85"/>
    <w:rsid w:val="00A328CE"/>
    <w:rsid w:val="00A3395A"/>
    <w:rsid w:val="00A3479F"/>
    <w:rsid w:val="00A348BF"/>
    <w:rsid w:val="00A35847"/>
    <w:rsid w:val="00A359CB"/>
    <w:rsid w:val="00A35E8A"/>
    <w:rsid w:val="00A3739A"/>
    <w:rsid w:val="00A3789E"/>
    <w:rsid w:val="00A37F9F"/>
    <w:rsid w:val="00A40C84"/>
    <w:rsid w:val="00A41C57"/>
    <w:rsid w:val="00A41CB5"/>
    <w:rsid w:val="00A41D2E"/>
    <w:rsid w:val="00A41E2D"/>
    <w:rsid w:val="00A42381"/>
    <w:rsid w:val="00A4286D"/>
    <w:rsid w:val="00A44133"/>
    <w:rsid w:val="00A44899"/>
    <w:rsid w:val="00A44AA9"/>
    <w:rsid w:val="00A450E0"/>
    <w:rsid w:val="00A45103"/>
    <w:rsid w:val="00A452B2"/>
    <w:rsid w:val="00A461DD"/>
    <w:rsid w:val="00A4638C"/>
    <w:rsid w:val="00A464CE"/>
    <w:rsid w:val="00A47CC2"/>
    <w:rsid w:val="00A50954"/>
    <w:rsid w:val="00A51075"/>
    <w:rsid w:val="00A51A94"/>
    <w:rsid w:val="00A52F1C"/>
    <w:rsid w:val="00A535D8"/>
    <w:rsid w:val="00A53EEA"/>
    <w:rsid w:val="00A547DC"/>
    <w:rsid w:val="00A558A7"/>
    <w:rsid w:val="00A55E07"/>
    <w:rsid w:val="00A57F6D"/>
    <w:rsid w:val="00A60331"/>
    <w:rsid w:val="00A60630"/>
    <w:rsid w:val="00A61778"/>
    <w:rsid w:val="00A61903"/>
    <w:rsid w:val="00A61D44"/>
    <w:rsid w:val="00A62339"/>
    <w:rsid w:val="00A62C35"/>
    <w:rsid w:val="00A63E36"/>
    <w:rsid w:val="00A64693"/>
    <w:rsid w:val="00A66517"/>
    <w:rsid w:val="00A66738"/>
    <w:rsid w:val="00A668B7"/>
    <w:rsid w:val="00A66922"/>
    <w:rsid w:val="00A6718A"/>
    <w:rsid w:val="00A67335"/>
    <w:rsid w:val="00A67337"/>
    <w:rsid w:val="00A703C6"/>
    <w:rsid w:val="00A70D22"/>
    <w:rsid w:val="00A7267C"/>
    <w:rsid w:val="00A727A4"/>
    <w:rsid w:val="00A72F09"/>
    <w:rsid w:val="00A741DF"/>
    <w:rsid w:val="00A7448F"/>
    <w:rsid w:val="00A749FB"/>
    <w:rsid w:val="00A7592C"/>
    <w:rsid w:val="00A7658D"/>
    <w:rsid w:val="00A76987"/>
    <w:rsid w:val="00A779EF"/>
    <w:rsid w:val="00A80918"/>
    <w:rsid w:val="00A82459"/>
    <w:rsid w:val="00A825D1"/>
    <w:rsid w:val="00A8494F"/>
    <w:rsid w:val="00A84C5E"/>
    <w:rsid w:val="00A85943"/>
    <w:rsid w:val="00A85993"/>
    <w:rsid w:val="00A85A4B"/>
    <w:rsid w:val="00A85D07"/>
    <w:rsid w:val="00A86202"/>
    <w:rsid w:val="00A862BE"/>
    <w:rsid w:val="00A87A92"/>
    <w:rsid w:val="00A87F6D"/>
    <w:rsid w:val="00A901BF"/>
    <w:rsid w:val="00A910BF"/>
    <w:rsid w:val="00A92B14"/>
    <w:rsid w:val="00A93879"/>
    <w:rsid w:val="00A94E19"/>
    <w:rsid w:val="00A95835"/>
    <w:rsid w:val="00A95B78"/>
    <w:rsid w:val="00A960E4"/>
    <w:rsid w:val="00A9616C"/>
    <w:rsid w:val="00A963B7"/>
    <w:rsid w:val="00A9644F"/>
    <w:rsid w:val="00A9720B"/>
    <w:rsid w:val="00A97347"/>
    <w:rsid w:val="00A9752E"/>
    <w:rsid w:val="00AA1070"/>
    <w:rsid w:val="00AA2144"/>
    <w:rsid w:val="00AA2359"/>
    <w:rsid w:val="00AA2379"/>
    <w:rsid w:val="00AA3755"/>
    <w:rsid w:val="00AA41F0"/>
    <w:rsid w:val="00AA41F7"/>
    <w:rsid w:val="00AA6440"/>
    <w:rsid w:val="00AA7114"/>
    <w:rsid w:val="00AA796A"/>
    <w:rsid w:val="00AB0969"/>
    <w:rsid w:val="00AB1E51"/>
    <w:rsid w:val="00AB3BDF"/>
    <w:rsid w:val="00AB3EF6"/>
    <w:rsid w:val="00AB4687"/>
    <w:rsid w:val="00AB501B"/>
    <w:rsid w:val="00AB5CD2"/>
    <w:rsid w:val="00AB5F43"/>
    <w:rsid w:val="00AB692C"/>
    <w:rsid w:val="00AB6D24"/>
    <w:rsid w:val="00AB6EC7"/>
    <w:rsid w:val="00AB705F"/>
    <w:rsid w:val="00AB7562"/>
    <w:rsid w:val="00AC08F6"/>
    <w:rsid w:val="00AC1454"/>
    <w:rsid w:val="00AC1921"/>
    <w:rsid w:val="00AC1A80"/>
    <w:rsid w:val="00AC1CC5"/>
    <w:rsid w:val="00AC1D43"/>
    <w:rsid w:val="00AC2F26"/>
    <w:rsid w:val="00AC33F4"/>
    <w:rsid w:val="00AC3512"/>
    <w:rsid w:val="00AC38C5"/>
    <w:rsid w:val="00AC3BA9"/>
    <w:rsid w:val="00AC3C3B"/>
    <w:rsid w:val="00AC43A5"/>
    <w:rsid w:val="00AC498D"/>
    <w:rsid w:val="00AC4E5F"/>
    <w:rsid w:val="00AC5422"/>
    <w:rsid w:val="00AC5DBC"/>
    <w:rsid w:val="00AD08B8"/>
    <w:rsid w:val="00AD119D"/>
    <w:rsid w:val="00AD23C1"/>
    <w:rsid w:val="00AD39AE"/>
    <w:rsid w:val="00AD3A76"/>
    <w:rsid w:val="00AD4362"/>
    <w:rsid w:val="00AD4BAE"/>
    <w:rsid w:val="00AD51C3"/>
    <w:rsid w:val="00AD60B2"/>
    <w:rsid w:val="00AD632F"/>
    <w:rsid w:val="00AD65EE"/>
    <w:rsid w:val="00AE011E"/>
    <w:rsid w:val="00AE2B00"/>
    <w:rsid w:val="00AE37D6"/>
    <w:rsid w:val="00AE435A"/>
    <w:rsid w:val="00AE4A8B"/>
    <w:rsid w:val="00AE4C54"/>
    <w:rsid w:val="00AE5DD1"/>
    <w:rsid w:val="00AE6223"/>
    <w:rsid w:val="00AE68A6"/>
    <w:rsid w:val="00AE6BE3"/>
    <w:rsid w:val="00AE7709"/>
    <w:rsid w:val="00AE7A32"/>
    <w:rsid w:val="00AF0304"/>
    <w:rsid w:val="00AF0D17"/>
    <w:rsid w:val="00AF0FF7"/>
    <w:rsid w:val="00AF179A"/>
    <w:rsid w:val="00AF19BE"/>
    <w:rsid w:val="00AF1D64"/>
    <w:rsid w:val="00AF22B5"/>
    <w:rsid w:val="00AF2CF0"/>
    <w:rsid w:val="00AF38F7"/>
    <w:rsid w:val="00AF40B9"/>
    <w:rsid w:val="00AF4763"/>
    <w:rsid w:val="00AF4D1B"/>
    <w:rsid w:val="00AF56C3"/>
    <w:rsid w:val="00AF6C19"/>
    <w:rsid w:val="00AF700D"/>
    <w:rsid w:val="00AF799B"/>
    <w:rsid w:val="00B00A2E"/>
    <w:rsid w:val="00B00D2F"/>
    <w:rsid w:val="00B0135F"/>
    <w:rsid w:val="00B03206"/>
    <w:rsid w:val="00B03223"/>
    <w:rsid w:val="00B03DC0"/>
    <w:rsid w:val="00B04C8F"/>
    <w:rsid w:val="00B04E1E"/>
    <w:rsid w:val="00B053F2"/>
    <w:rsid w:val="00B066DA"/>
    <w:rsid w:val="00B0695C"/>
    <w:rsid w:val="00B06C1A"/>
    <w:rsid w:val="00B071A1"/>
    <w:rsid w:val="00B108C3"/>
    <w:rsid w:val="00B1182D"/>
    <w:rsid w:val="00B12208"/>
    <w:rsid w:val="00B13116"/>
    <w:rsid w:val="00B13868"/>
    <w:rsid w:val="00B13D31"/>
    <w:rsid w:val="00B13EB1"/>
    <w:rsid w:val="00B14085"/>
    <w:rsid w:val="00B14E58"/>
    <w:rsid w:val="00B163AB"/>
    <w:rsid w:val="00B1770A"/>
    <w:rsid w:val="00B17B26"/>
    <w:rsid w:val="00B17ECF"/>
    <w:rsid w:val="00B20CBC"/>
    <w:rsid w:val="00B20D2E"/>
    <w:rsid w:val="00B228F6"/>
    <w:rsid w:val="00B22D55"/>
    <w:rsid w:val="00B22D74"/>
    <w:rsid w:val="00B22E55"/>
    <w:rsid w:val="00B232DC"/>
    <w:rsid w:val="00B23A32"/>
    <w:rsid w:val="00B25727"/>
    <w:rsid w:val="00B26AFE"/>
    <w:rsid w:val="00B27792"/>
    <w:rsid w:val="00B32D0F"/>
    <w:rsid w:val="00B33DE7"/>
    <w:rsid w:val="00B34ADE"/>
    <w:rsid w:val="00B35264"/>
    <w:rsid w:val="00B352DF"/>
    <w:rsid w:val="00B35ED0"/>
    <w:rsid w:val="00B36052"/>
    <w:rsid w:val="00B36FC2"/>
    <w:rsid w:val="00B3755C"/>
    <w:rsid w:val="00B37A5F"/>
    <w:rsid w:val="00B403E3"/>
    <w:rsid w:val="00B40AB9"/>
    <w:rsid w:val="00B40C93"/>
    <w:rsid w:val="00B40DA6"/>
    <w:rsid w:val="00B417C3"/>
    <w:rsid w:val="00B41989"/>
    <w:rsid w:val="00B41F4A"/>
    <w:rsid w:val="00B42774"/>
    <w:rsid w:val="00B432B4"/>
    <w:rsid w:val="00B4372F"/>
    <w:rsid w:val="00B46F56"/>
    <w:rsid w:val="00B47A94"/>
    <w:rsid w:val="00B47FB9"/>
    <w:rsid w:val="00B47FF0"/>
    <w:rsid w:val="00B50AD0"/>
    <w:rsid w:val="00B50DE6"/>
    <w:rsid w:val="00B51A18"/>
    <w:rsid w:val="00B51C0E"/>
    <w:rsid w:val="00B52877"/>
    <w:rsid w:val="00B5296C"/>
    <w:rsid w:val="00B548FF"/>
    <w:rsid w:val="00B549AA"/>
    <w:rsid w:val="00B54B84"/>
    <w:rsid w:val="00B556EE"/>
    <w:rsid w:val="00B556F7"/>
    <w:rsid w:val="00B55D26"/>
    <w:rsid w:val="00B561DB"/>
    <w:rsid w:val="00B5643E"/>
    <w:rsid w:val="00B56877"/>
    <w:rsid w:val="00B568A6"/>
    <w:rsid w:val="00B574FA"/>
    <w:rsid w:val="00B57AF3"/>
    <w:rsid w:val="00B57B18"/>
    <w:rsid w:val="00B60221"/>
    <w:rsid w:val="00B60604"/>
    <w:rsid w:val="00B60724"/>
    <w:rsid w:val="00B60A2C"/>
    <w:rsid w:val="00B60BAA"/>
    <w:rsid w:val="00B60D63"/>
    <w:rsid w:val="00B612A1"/>
    <w:rsid w:val="00B618AE"/>
    <w:rsid w:val="00B61CCF"/>
    <w:rsid w:val="00B61F6A"/>
    <w:rsid w:val="00B621CF"/>
    <w:rsid w:val="00B627D8"/>
    <w:rsid w:val="00B6408C"/>
    <w:rsid w:val="00B6539D"/>
    <w:rsid w:val="00B659C5"/>
    <w:rsid w:val="00B65A45"/>
    <w:rsid w:val="00B6633D"/>
    <w:rsid w:val="00B66496"/>
    <w:rsid w:val="00B6696C"/>
    <w:rsid w:val="00B66ECA"/>
    <w:rsid w:val="00B70464"/>
    <w:rsid w:val="00B716DE"/>
    <w:rsid w:val="00B71F82"/>
    <w:rsid w:val="00B7245D"/>
    <w:rsid w:val="00B72FB7"/>
    <w:rsid w:val="00B73446"/>
    <w:rsid w:val="00B754F5"/>
    <w:rsid w:val="00B75573"/>
    <w:rsid w:val="00B75751"/>
    <w:rsid w:val="00B76952"/>
    <w:rsid w:val="00B77B2F"/>
    <w:rsid w:val="00B8082B"/>
    <w:rsid w:val="00B808E8"/>
    <w:rsid w:val="00B80C9F"/>
    <w:rsid w:val="00B80FA1"/>
    <w:rsid w:val="00B822DE"/>
    <w:rsid w:val="00B823F9"/>
    <w:rsid w:val="00B82541"/>
    <w:rsid w:val="00B82AE9"/>
    <w:rsid w:val="00B83085"/>
    <w:rsid w:val="00B8383F"/>
    <w:rsid w:val="00B8455B"/>
    <w:rsid w:val="00B85272"/>
    <w:rsid w:val="00B85344"/>
    <w:rsid w:val="00B860AA"/>
    <w:rsid w:val="00B860E3"/>
    <w:rsid w:val="00B86630"/>
    <w:rsid w:val="00B86773"/>
    <w:rsid w:val="00B87C93"/>
    <w:rsid w:val="00B90E59"/>
    <w:rsid w:val="00B91976"/>
    <w:rsid w:val="00B92C8A"/>
    <w:rsid w:val="00B92CEA"/>
    <w:rsid w:val="00B93104"/>
    <w:rsid w:val="00B9386D"/>
    <w:rsid w:val="00B94C15"/>
    <w:rsid w:val="00B955E9"/>
    <w:rsid w:val="00B963AB"/>
    <w:rsid w:val="00B9798C"/>
    <w:rsid w:val="00B97F35"/>
    <w:rsid w:val="00BA01B6"/>
    <w:rsid w:val="00BA05C7"/>
    <w:rsid w:val="00BA19D0"/>
    <w:rsid w:val="00BA1D19"/>
    <w:rsid w:val="00BA22E1"/>
    <w:rsid w:val="00BA2B4B"/>
    <w:rsid w:val="00BA2D41"/>
    <w:rsid w:val="00BA2DB9"/>
    <w:rsid w:val="00BA324E"/>
    <w:rsid w:val="00BA327D"/>
    <w:rsid w:val="00BA3720"/>
    <w:rsid w:val="00BA425E"/>
    <w:rsid w:val="00BA51CF"/>
    <w:rsid w:val="00BA55DF"/>
    <w:rsid w:val="00BA592A"/>
    <w:rsid w:val="00BA5CE4"/>
    <w:rsid w:val="00BA5E94"/>
    <w:rsid w:val="00BA6689"/>
    <w:rsid w:val="00BA6753"/>
    <w:rsid w:val="00BA7659"/>
    <w:rsid w:val="00BB066F"/>
    <w:rsid w:val="00BB30E6"/>
    <w:rsid w:val="00BB3878"/>
    <w:rsid w:val="00BB450E"/>
    <w:rsid w:val="00BB4CA8"/>
    <w:rsid w:val="00BB5072"/>
    <w:rsid w:val="00BB55DC"/>
    <w:rsid w:val="00BB6048"/>
    <w:rsid w:val="00BB6227"/>
    <w:rsid w:val="00BB6529"/>
    <w:rsid w:val="00BB6967"/>
    <w:rsid w:val="00BB7014"/>
    <w:rsid w:val="00BB7399"/>
    <w:rsid w:val="00BC0474"/>
    <w:rsid w:val="00BC048C"/>
    <w:rsid w:val="00BC0D58"/>
    <w:rsid w:val="00BC2D6A"/>
    <w:rsid w:val="00BC3104"/>
    <w:rsid w:val="00BC3792"/>
    <w:rsid w:val="00BC3CAC"/>
    <w:rsid w:val="00BC3F55"/>
    <w:rsid w:val="00BC4453"/>
    <w:rsid w:val="00BC4BFF"/>
    <w:rsid w:val="00BC4C28"/>
    <w:rsid w:val="00BC5419"/>
    <w:rsid w:val="00BC57A9"/>
    <w:rsid w:val="00BC5CB0"/>
    <w:rsid w:val="00BC61D3"/>
    <w:rsid w:val="00BC674A"/>
    <w:rsid w:val="00BC7607"/>
    <w:rsid w:val="00BC7BD3"/>
    <w:rsid w:val="00BD1022"/>
    <w:rsid w:val="00BD10C7"/>
    <w:rsid w:val="00BD237F"/>
    <w:rsid w:val="00BD24CE"/>
    <w:rsid w:val="00BD3875"/>
    <w:rsid w:val="00BD4877"/>
    <w:rsid w:val="00BD50A1"/>
    <w:rsid w:val="00BD545B"/>
    <w:rsid w:val="00BD5F01"/>
    <w:rsid w:val="00BD6EBF"/>
    <w:rsid w:val="00BD7BB2"/>
    <w:rsid w:val="00BD7EDE"/>
    <w:rsid w:val="00BE0F76"/>
    <w:rsid w:val="00BE1863"/>
    <w:rsid w:val="00BE1CCF"/>
    <w:rsid w:val="00BE25D3"/>
    <w:rsid w:val="00BE2CB5"/>
    <w:rsid w:val="00BE2D24"/>
    <w:rsid w:val="00BE38D9"/>
    <w:rsid w:val="00BE3B18"/>
    <w:rsid w:val="00BE4C0F"/>
    <w:rsid w:val="00BE5C87"/>
    <w:rsid w:val="00BE6005"/>
    <w:rsid w:val="00BE7043"/>
    <w:rsid w:val="00BF0189"/>
    <w:rsid w:val="00BF0507"/>
    <w:rsid w:val="00BF10F6"/>
    <w:rsid w:val="00BF1118"/>
    <w:rsid w:val="00BF417F"/>
    <w:rsid w:val="00BF50E2"/>
    <w:rsid w:val="00BF53BC"/>
    <w:rsid w:val="00BF54FE"/>
    <w:rsid w:val="00BF54FF"/>
    <w:rsid w:val="00BF6606"/>
    <w:rsid w:val="00BF7324"/>
    <w:rsid w:val="00C00A50"/>
    <w:rsid w:val="00C00F47"/>
    <w:rsid w:val="00C01402"/>
    <w:rsid w:val="00C017F0"/>
    <w:rsid w:val="00C04000"/>
    <w:rsid w:val="00C04332"/>
    <w:rsid w:val="00C0451D"/>
    <w:rsid w:val="00C0497E"/>
    <w:rsid w:val="00C04BD8"/>
    <w:rsid w:val="00C0514D"/>
    <w:rsid w:val="00C05FF6"/>
    <w:rsid w:val="00C06AA8"/>
    <w:rsid w:val="00C07DD7"/>
    <w:rsid w:val="00C10305"/>
    <w:rsid w:val="00C104B0"/>
    <w:rsid w:val="00C10BAF"/>
    <w:rsid w:val="00C10DF4"/>
    <w:rsid w:val="00C11798"/>
    <w:rsid w:val="00C15C83"/>
    <w:rsid w:val="00C15F16"/>
    <w:rsid w:val="00C16DC9"/>
    <w:rsid w:val="00C16E06"/>
    <w:rsid w:val="00C1771A"/>
    <w:rsid w:val="00C17FFA"/>
    <w:rsid w:val="00C20FA1"/>
    <w:rsid w:val="00C21870"/>
    <w:rsid w:val="00C21EF8"/>
    <w:rsid w:val="00C2208E"/>
    <w:rsid w:val="00C22E47"/>
    <w:rsid w:val="00C2448D"/>
    <w:rsid w:val="00C2463E"/>
    <w:rsid w:val="00C260E4"/>
    <w:rsid w:val="00C26E3B"/>
    <w:rsid w:val="00C30C7E"/>
    <w:rsid w:val="00C32423"/>
    <w:rsid w:val="00C33E4C"/>
    <w:rsid w:val="00C34780"/>
    <w:rsid w:val="00C34C58"/>
    <w:rsid w:val="00C35018"/>
    <w:rsid w:val="00C3507A"/>
    <w:rsid w:val="00C354B2"/>
    <w:rsid w:val="00C35964"/>
    <w:rsid w:val="00C35B9A"/>
    <w:rsid w:val="00C36266"/>
    <w:rsid w:val="00C369F6"/>
    <w:rsid w:val="00C40597"/>
    <w:rsid w:val="00C4182F"/>
    <w:rsid w:val="00C423E5"/>
    <w:rsid w:val="00C42F61"/>
    <w:rsid w:val="00C442EF"/>
    <w:rsid w:val="00C44679"/>
    <w:rsid w:val="00C44982"/>
    <w:rsid w:val="00C452EA"/>
    <w:rsid w:val="00C457D2"/>
    <w:rsid w:val="00C45AC4"/>
    <w:rsid w:val="00C4647A"/>
    <w:rsid w:val="00C46774"/>
    <w:rsid w:val="00C469E8"/>
    <w:rsid w:val="00C46A79"/>
    <w:rsid w:val="00C4709C"/>
    <w:rsid w:val="00C47494"/>
    <w:rsid w:val="00C47809"/>
    <w:rsid w:val="00C47889"/>
    <w:rsid w:val="00C502E4"/>
    <w:rsid w:val="00C50787"/>
    <w:rsid w:val="00C50FEF"/>
    <w:rsid w:val="00C519D4"/>
    <w:rsid w:val="00C5258F"/>
    <w:rsid w:val="00C532CA"/>
    <w:rsid w:val="00C533B4"/>
    <w:rsid w:val="00C53985"/>
    <w:rsid w:val="00C53B5E"/>
    <w:rsid w:val="00C54014"/>
    <w:rsid w:val="00C54AB5"/>
    <w:rsid w:val="00C54AE6"/>
    <w:rsid w:val="00C55ADF"/>
    <w:rsid w:val="00C55B98"/>
    <w:rsid w:val="00C5619B"/>
    <w:rsid w:val="00C561D6"/>
    <w:rsid w:val="00C56257"/>
    <w:rsid w:val="00C562F3"/>
    <w:rsid w:val="00C57A81"/>
    <w:rsid w:val="00C6118C"/>
    <w:rsid w:val="00C62363"/>
    <w:rsid w:val="00C62B80"/>
    <w:rsid w:val="00C62D83"/>
    <w:rsid w:val="00C635F6"/>
    <w:rsid w:val="00C63794"/>
    <w:rsid w:val="00C64609"/>
    <w:rsid w:val="00C65447"/>
    <w:rsid w:val="00C65CE8"/>
    <w:rsid w:val="00C6606F"/>
    <w:rsid w:val="00C664A9"/>
    <w:rsid w:val="00C66EA6"/>
    <w:rsid w:val="00C67698"/>
    <w:rsid w:val="00C67FB6"/>
    <w:rsid w:val="00C701CC"/>
    <w:rsid w:val="00C71A2A"/>
    <w:rsid w:val="00C71C3F"/>
    <w:rsid w:val="00C72184"/>
    <w:rsid w:val="00C722F3"/>
    <w:rsid w:val="00C724DF"/>
    <w:rsid w:val="00C72833"/>
    <w:rsid w:val="00C729D1"/>
    <w:rsid w:val="00C72CBB"/>
    <w:rsid w:val="00C73597"/>
    <w:rsid w:val="00C73C4F"/>
    <w:rsid w:val="00C7409A"/>
    <w:rsid w:val="00C741D9"/>
    <w:rsid w:val="00C7480C"/>
    <w:rsid w:val="00C74CBE"/>
    <w:rsid w:val="00C74D92"/>
    <w:rsid w:val="00C75363"/>
    <w:rsid w:val="00C762C3"/>
    <w:rsid w:val="00C76379"/>
    <w:rsid w:val="00C77B24"/>
    <w:rsid w:val="00C77CD2"/>
    <w:rsid w:val="00C80052"/>
    <w:rsid w:val="00C800D5"/>
    <w:rsid w:val="00C816AE"/>
    <w:rsid w:val="00C81772"/>
    <w:rsid w:val="00C817D2"/>
    <w:rsid w:val="00C81C6A"/>
    <w:rsid w:val="00C825FB"/>
    <w:rsid w:val="00C82BE6"/>
    <w:rsid w:val="00C837E8"/>
    <w:rsid w:val="00C848A5"/>
    <w:rsid w:val="00C85539"/>
    <w:rsid w:val="00C85B69"/>
    <w:rsid w:val="00C85F17"/>
    <w:rsid w:val="00C861E1"/>
    <w:rsid w:val="00C86940"/>
    <w:rsid w:val="00C86A16"/>
    <w:rsid w:val="00C86EBB"/>
    <w:rsid w:val="00C90229"/>
    <w:rsid w:val="00C9060D"/>
    <w:rsid w:val="00C916D5"/>
    <w:rsid w:val="00C928A3"/>
    <w:rsid w:val="00C92AFC"/>
    <w:rsid w:val="00C92B2E"/>
    <w:rsid w:val="00C93686"/>
    <w:rsid w:val="00C93767"/>
    <w:rsid w:val="00C953EB"/>
    <w:rsid w:val="00C9548B"/>
    <w:rsid w:val="00C95DE4"/>
    <w:rsid w:val="00C9617A"/>
    <w:rsid w:val="00C9669B"/>
    <w:rsid w:val="00C96B96"/>
    <w:rsid w:val="00C96FBF"/>
    <w:rsid w:val="00C97604"/>
    <w:rsid w:val="00CA0394"/>
    <w:rsid w:val="00CA0E5E"/>
    <w:rsid w:val="00CA171C"/>
    <w:rsid w:val="00CA1833"/>
    <w:rsid w:val="00CA23C0"/>
    <w:rsid w:val="00CA268C"/>
    <w:rsid w:val="00CA34A1"/>
    <w:rsid w:val="00CA36E6"/>
    <w:rsid w:val="00CA3A7E"/>
    <w:rsid w:val="00CA5B36"/>
    <w:rsid w:val="00CA5CAC"/>
    <w:rsid w:val="00CA5D2C"/>
    <w:rsid w:val="00CA5FC9"/>
    <w:rsid w:val="00CA60FF"/>
    <w:rsid w:val="00CA68A9"/>
    <w:rsid w:val="00CA6CAC"/>
    <w:rsid w:val="00CA727B"/>
    <w:rsid w:val="00CB1E89"/>
    <w:rsid w:val="00CB2423"/>
    <w:rsid w:val="00CB28A8"/>
    <w:rsid w:val="00CB3504"/>
    <w:rsid w:val="00CB37AD"/>
    <w:rsid w:val="00CB37D1"/>
    <w:rsid w:val="00CB46F2"/>
    <w:rsid w:val="00CB48BF"/>
    <w:rsid w:val="00CB59A5"/>
    <w:rsid w:val="00CB5D9A"/>
    <w:rsid w:val="00CB6A75"/>
    <w:rsid w:val="00CB7699"/>
    <w:rsid w:val="00CB777F"/>
    <w:rsid w:val="00CC28B8"/>
    <w:rsid w:val="00CC32F5"/>
    <w:rsid w:val="00CC4363"/>
    <w:rsid w:val="00CC532B"/>
    <w:rsid w:val="00CC5697"/>
    <w:rsid w:val="00CC5D88"/>
    <w:rsid w:val="00CC617E"/>
    <w:rsid w:val="00CC6303"/>
    <w:rsid w:val="00CC6305"/>
    <w:rsid w:val="00CC6B1F"/>
    <w:rsid w:val="00CC73F9"/>
    <w:rsid w:val="00CC7C5C"/>
    <w:rsid w:val="00CD044E"/>
    <w:rsid w:val="00CD1256"/>
    <w:rsid w:val="00CD1538"/>
    <w:rsid w:val="00CD1642"/>
    <w:rsid w:val="00CD1651"/>
    <w:rsid w:val="00CD1F65"/>
    <w:rsid w:val="00CD22B2"/>
    <w:rsid w:val="00CD2DDF"/>
    <w:rsid w:val="00CD354B"/>
    <w:rsid w:val="00CD3EBE"/>
    <w:rsid w:val="00CD404D"/>
    <w:rsid w:val="00CD4774"/>
    <w:rsid w:val="00CD49E5"/>
    <w:rsid w:val="00CD4EFA"/>
    <w:rsid w:val="00CD5530"/>
    <w:rsid w:val="00CD633A"/>
    <w:rsid w:val="00CD6759"/>
    <w:rsid w:val="00CD6ACD"/>
    <w:rsid w:val="00CD6C3F"/>
    <w:rsid w:val="00CD71D0"/>
    <w:rsid w:val="00CD720F"/>
    <w:rsid w:val="00CD7608"/>
    <w:rsid w:val="00CD7A14"/>
    <w:rsid w:val="00CE0112"/>
    <w:rsid w:val="00CE13C9"/>
    <w:rsid w:val="00CE1D48"/>
    <w:rsid w:val="00CE24B2"/>
    <w:rsid w:val="00CE45BD"/>
    <w:rsid w:val="00CE5032"/>
    <w:rsid w:val="00CE61DA"/>
    <w:rsid w:val="00CE6384"/>
    <w:rsid w:val="00CE638D"/>
    <w:rsid w:val="00CE68A6"/>
    <w:rsid w:val="00CE75C2"/>
    <w:rsid w:val="00CE7F75"/>
    <w:rsid w:val="00CF184F"/>
    <w:rsid w:val="00CF3A0A"/>
    <w:rsid w:val="00CF3C22"/>
    <w:rsid w:val="00CF3DC5"/>
    <w:rsid w:val="00CF4020"/>
    <w:rsid w:val="00CF4E7F"/>
    <w:rsid w:val="00CF54E4"/>
    <w:rsid w:val="00CF5EA3"/>
    <w:rsid w:val="00CF6EA0"/>
    <w:rsid w:val="00CF7BA6"/>
    <w:rsid w:val="00D0009F"/>
    <w:rsid w:val="00D01F5A"/>
    <w:rsid w:val="00D021B4"/>
    <w:rsid w:val="00D0270B"/>
    <w:rsid w:val="00D031D0"/>
    <w:rsid w:val="00D039E7"/>
    <w:rsid w:val="00D04FCC"/>
    <w:rsid w:val="00D0537F"/>
    <w:rsid w:val="00D066BC"/>
    <w:rsid w:val="00D066E5"/>
    <w:rsid w:val="00D11885"/>
    <w:rsid w:val="00D11971"/>
    <w:rsid w:val="00D11A59"/>
    <w:rsid w:val="00D13031"/>
    <w:rsid w:val="00D13964"/>
    <w:rsid w:val="00D142A6"/>
    <w:rsid w:val="00D160D7"/>
    <w:rsid w:val="00D16908"/>
    <w:rsid w:val="00D16971"/>
    <w:rsid w:val="00D16D59"/>
    <w:rsid w:val="00D16EE0"/>
    <w:rsid w:val="00D17A9F"/>
    <w:rsid w:val="00D20019"/>
    <w:rsid w:val="00D2067B"/>
    <w:rsid w:val="00D2070D"/>
    <w:rsid w:val="00D21131"/>
    <w:rsid w:val="00D2128C"/>
    <w:rsid w:val="00D23ACD"/>
    <w:rsid w:val="00D24E10"/>
    <w:rsid w:val="00D264FA"/>
    <w:rsid w:val="00D265AC"/>
    <w:rsid w:val="00D27A1E"/>
    <w:rsid w:val="00D309AD"/>
    <w:rsid w:val="00D30C4D"/>
    <w:rsid w:val="00D3246D"/>
    <w:rsid w:val="00D3372C"/>
    <w:rsid w:val="00D34711"/>
    <w:rsid w:val="00D3494F"/>
    <w:rsid w:val="00D357E4"/>
    <w:rsid w:val="00D35C77"/>
    <w:rsid w:val="00D35D01"/>
    <w:rsid w:val="00D3737A"/>
    <w:rsid w:val="00D37414"/>
    <w:rsid w:val="00D40303"/>
    <w:rsid w:val="00D4122E"/>
    <w:rsid w:val="00D417A2"/>
    <w:rsid w:val="00D417F4"/>
    <w:rsid w:val="00D41BA5"/>
    <w:rsid w:val="00D4251A"/>
    <w:rsid w:val="00D4307C"/>
    <w:rsid w:val="00D442C2"/>
    <w:rsid w:val="00D4459E"/>
    <w:rsid w:val="00D44C50"/>
    <w:rsid w:val="00D4597D"/>
    <w:rsid w:val="00D461CB"/>
    <w:rsid w:val="00D46633"/>
    <w:rsid w:val="00D47BB5"/>
    <w:rsid w:val="00D47F29"/>
    <w:rsid w:val="00D51108"/>
    <w:rsid w:val="00D51786"/>
    <w:rsid w:val="00D51C35"/>
    <w:rsid w:val="00D535BE"/>
    <w:rsid w:val="00D53925"/>
    <w:rsid w:val="00D53F64"/>
    <w:rsid w:val="00D54522"/>
    <w:rsid w:val="00D54552"/>
    <w:rsid w:val="00D549EB"/>
    <w:rsid w:val="00D54C37"/>
    <w:rsid w:val="00D553C2"/>
    <w:rsid w:val="00D55E7F"/>
    <w:rsid w:val="00D56D24"/>
    <w:rsid w:val="00D571F5"/>
    <w:rsid w:val="00D57B64"/>
    <w:rsid w:val="00D57DE1"/>
    <w:rsid w:val="00D61665"/>
    <w:rsid w:val="00D62419"/>
    <w:rsid w:val="00D6302C"/>
    <w:rsid w:val="00D63368"/>
    <w:rsid w:val="00D64391"/>
    <w:rsid w:val="00D64D87"/>
    <w:rsid w:val="00D652BF"/>
    <w:rsid w:val="00D65307"/>
    <w:rsid w:val="00D65E30"/>
    <w:rsid w:val="00D679CE"/>
    <w:rsid w:val="00D67D22"/>
    <w:rsid w:val="00D70471"/>
    <w:rsid w:val="00D70C11"/>
    <w:rsid w:val="00D7160C"/>
    <w:rsid w:val="00D718C8"/>
    <w:rsid w:val="00D72121"/>
    <w:rsid w:val="00D72D1F"/>
    <w:rsid w:val="00D73F0A"/>
    <w:rsid w:val="00D7475A"/>
    <w:rsid w:val="00D74D29"/>
    <w:rsid w:val="00D75740"/>
    <w:rsid w:val="00D76097"/>
    <w:rsid w:val="00D7641D"/>
    <w:rsid w:val="00D76AE8"/>
    <w:rsid w:val="00D771A1"/>
    <w:rsid w:val="00D77ECC"/>
    <w:rsid w:val="00D80333"/>
    <w:rsid w:val="00D80DB7"/>
    <w:rsid w:val="00D816C0"/>
    <w:rsid w:val="00D836E5"/>
    <w:rsid w:val="00D83930"/>
    <w:rsid w:val="00D850E4"/>
    <w:rsid w:val="00D85215"/>
    <w:rsid w:val="00D8644E"/>
    <w:rsid w:val="00D8646F"/>
    <w:rsid w:val="00D86A17"/>
    <w:rsid w:val="00D90515"/>
    <w:rsid w:val="00D92137"/>
    <w:rsid w:val="00D92F6D"/>
    <w:rsid w:val="00D9400D"/>
    <w:rsid w:val="00D94511"/>
    <w:rsid w:val="00D94D44"/>
    <w:rsid w:val="00D950C0"/>
    <w:rsid w:val="00D950CA"/>
    <w:rsid w:val="00D95C7F"/>
    <w:rsid w:val="00DA0C28"/>
    <w:rsid w:val="00DA0D8E"/>
    <w:rsid w:val="00DA213B"/>
    <w:rsid w:val="00DA2321"/>
    <w:rsid w:val="00DA2A57"/>
    <w:rsid w:val="00DA2C06"/>
    <w:rsid w:val="00DA2EFC"/>
    <w:rsid w:val="00DA3243"/>
    <w:rsid w:val="00DA3721"/>
    <w:rsid w:val="00DA3869"/>
    <w:rsid w:val="00DA4A59"/>
    <w:rsid w:val="00DA6D9B"/>
    <w:rsid w:val="00DA7436"/>
    <w:rsid w:val="00DA7D09"/>
    <w:rsid w:val="00DB0872"/>
    <w:rsid w:val="00DB0EB0"/>
    <w:rsid w:val="00DB0F13"/>
    <w:rsid w:val="00DB1129"/>
    <w:rsid w:val="00DB1F55"/>
    <w:rsid w:val="00DB2523"/>
    <w:rsid w:val="00DB2799"/>
    <w:rsid w:val="00DB2E51"/>
    <w:rsid w:val="00DB31ED"/>
    <w:rsid w:val="00DB3481"/>
    <w:rsid w:val="00DB3D64"/>
    <w:rsid w:val="00DB3FA0"/>
    <w:rsid w:val="00DB4315"/>
    <w:rsid w:val="00DB51BF"/>
    <w:rsid w:val="00DB57CF"/>
    <w:rsid w:val="00DB591D"/>
    <w:rsid w:val="00DB7297"/>
    <w:rsid w:val="00DB7EA3"/>
    <w:rsid w:val="00DC12E9"/>
    <w:rsid w:val="00DC1B24"/>
    <w:rsid w:val="00DC1CCB"/>
    <w:rsid w:val="00DC31CA"/>
    <w:rsid w:val="00DC3380"/>
    <w:rsid w:val="00DC375F"/>
    <w:rsid w:val="00DC377E"/>
    <w:rsid w:val="00DC3D43"/>
    <w:rsid w:val="00DC46D8"/>
    <w:rsid w:val="00DC4A10"/>
    <w:rsid w:val="00DC4B03"/>
    <w:rsid w:val="00DC53ED"/>
    <w:rsid w:val="00DC5CB7"/>
    <w:rsid w:val="00DC7628"/>
    <w:rsid w:val="00DC7650"/>
    <w:rsid w:val="00DC779C"/>
    <w:rsid w:val="00DD1F07"/>
    <w:rsid w:val="00DD2B26"/>
    <w:rsid w:val="00DD3142"/>
    <w:rsid w:val="00DD3D08"/>
    <w:rsid w:val="00DD3E9C"/>
    <w:rsid w:val="00DD5778"/>
    <w:rsid w:val="00DD5A70"/>
    <w:rsid w:val="00DD669B"/>
    <w:rsid w:val="00DE0AE4"/>
    <w:rsid w:val="00DE0F36"/>
    <w:rsid w:val="00DE1477"/>
    <w:rsid w:val="00DE2D72"/>
    <w:rsid w:val="00DE37DF"/>
    <w:rsid w:val="00DE4A78"/>
    <w:rsid w:val="00DE4B6D"/>
    <w:rsid w:val="00DE67AF"/>
    <w:rsid w:val="00DE6B20"/>
    <w:rsid w:val="00DE7293"/>
    <w:rsid w:val="00DE7668"/>
    <w:rsid w:val="00DE79C7"/>
    <w:rsid w:val="00DF04F0"/>
    <w:rsid w:val="00DF0766"/>
    <w:rsid w:val="00DF0CE9"/>
    <w:rsid w:val="00DF0F10"/>
    <w:rsid w:val="00DF10E1"/>
    <w:rsid w:val="00DF15A3"/>
    <w:rsid w:val="00DF217A"/>
    <w:rsid w:val="00DF2215"/>
    <w:rsid w:val="00DF2284"/>
    <w:rsid w:val="00DF28D7"/>
    <w:rsid w:val="00DF3045"/>
    <w:rsid w:val="00DF419D"/>
    <w:rsid w:val="00DF4707"/>
    <w:rsid w:val="00DF541B"/>
    <w:rsid w:val="00DF6A0D"/>
    <w:rsid w:val="00DF7A5D"/>
    <w:rsid w:val="00E00433"/>
    <w:rsid w:val="00E0068E"/>
    <w:rsid w:val="00E0083A"/>
    <w:rsid w:val="00E00D1C"/>
    <w:rsid w:val="00E022D9"/>
    <w:rsid w:val="00E02568"/>
    <w:rsid w:val="00E02E1E"/>
    <w:rsid w:val="00E03149"/>
    <w:rsid w:val="00E03234"/>
    <w:rsid w:val="00E03C3F"/>
    <w:rsid w:val="00E04FF8"/>
    <w:rsid w:val="00E05191"/>
    <w:rsid w:val="00E062FE"/>
    <w:rsid w:val="00E07185"/>
    <w:rsid w:val="00E0763E"/>
    <w:rsid w:val="00E07B24"/>
    <w:rsid w:val="00E10399"/>
    <w:rsid w:val="00E11065"/>
    <w:rsid w:val="00E11069"/>
    <w:rsid w:val="00E1127D"/>
    <w:rsid w:val="00E1178A"/>
    <w:rsid w:val="00E11BAC"/>
    <w:rsid w:val="00E12802"/>
    <w:rsid w:val="00E1282F"/>
    <w:rsid w:val="00E128C0"/>
    <w:rsid w:val="00E12A91"/>
    <w:rsid w:val="00E13C01"/>
    <w:rsid w:val="00E13E8E"/>
    <w:rsid w:val="00E14112"/>
    <w:rsid w:val="00E148A2"/>
    <w:rsid w:val="00E153F7"/>
    <w:rsid w:val="00E1547B"/>
    <w:rsid w:val="00E1635A"/>
    <w:rsid w:val="00E1731D"/>
    <w:rsid w:val="00E175E8"/>
    <w:rsid w:val="00E17DA4"/>
    <w:rsid w:val="00E20743"/>
    <w:rsid w:val="00E20C09"/>
    <w:rsid w:val="00E20F21"/>
    <w:rsid w:val="00E21731"/>
    <w:rsid w:val="00E21C07"/>
    <w:rsid w:val="00E2289E"/>
    <w:rsid w:val="00E244ED"/>
    <w:rsid w:val="00E24649"/>
    <w:rsid w:val="00E248C3"/>
    <w:rsid w:val="00E24D0E"/>
    <w:rsid w:val="00E25783"/>
    <w:rsid w:val="00E264EA"/>
    <w:rsid w:val="00E26860"/>
    <w:rsid w:val="00E26FEF"/>
    <w:rsid w:val="00E27C8F"/>
    <w:rsid w:val="00E3237D"/>
    <w:rsid w:val="00E32BFB"/>
    <w:rsid w:val="00E334CA"/>
    <w:rsid w:val="00E341E3"/>
    <w:rsid w:val="00E35634"/>
    <w:rsid w:val="00E364EB"/>
    <w:rsid w:val="00E37614"/>
    <w:rsid w:val="00E42740"/>
    <w:rsid w:val="00E42EEB"/>
    <w:rsid w:val="00E431CC"/>
    <w:rsid w:val="00E43559"/>
    <w:rsid w:val="00E44459"/>
    <w:rsid w:val="00E47573"/>
    <w:rsid w:val="00E50086"/>
    <w:rsid w:val="00E508AB"/>
    <w:rsid w:val="00E510CD"/>
    <w:rsid w:val="00E51563"/>
    <w:rsid w:val="00E51BEE"/>
    <w:rsid w:val="00E51D98"/>
    <w:rsid w:val="00E52525"/>
    <w:rsid w:val="00E52586"/>
    <w:rsid w:val="00E5320D"/>
    <w:rsid w:val="00E53B34"/>
    <w:rsid w:val="00E55909"/>
    <w:rsid w:val="00E56DEA"/>
    <w:rsid w:val="00E5716C"/>
    <w:rsid w:val="00E573FA"/>
    <w:rsid w:val="00E57688"/>
    <w:rsid w:val="00E60091"/>
    <w:rsid w:val="00E60721"/>
    <w:rsid w:val="00E60A4B"/>
    <w:rsid w:val="00E60F95"/>
    <w:rsid w:val="00E61100"/>
    <w:rsid w:val="00E61147"/>
    <w:rsid w:val="00E61BD1"/>
    <w:rsid w:val="00E6200C"/>
    <w:rsid w:val="00E62032"/>
    <w:rsid w:val="00E622B5"/>
    <w:rsid w:val="00E648A5"/>
    <w:rsid w:val="00E64F63"/>
    <w:rsid w:val="00E65075"/>
    <w:rsid w:val="00E6566F"/>
    <w:rsid w:val="00E66BFE"/>
    <w:rsid w:val="00E72162"/>
    <w:rsid w:val="00E72742"/>
    <w:rsid w:val="00E732DD"/>
    <w:rsid w:val="00E7356A"/>
    <w:rsid w:val="00E735AF"/>
    <w:rsid w:val="00E73796"/>
    <w:rsid w:val="00E74381"/>
    <w:rsid w:val="00E74960"/>
    <w:rsid w:val="00E74CB8"/>
    <w:rsid w:val="00E75533"/>
    <w:rsid w:val="00E75A0A"/>
    <w:rsid w:val="00E77316"/>
    <w:rsid w:val="00E77A85"/>
    <w:rsid w:val="00E77F2D"/>
    <w:rsid w:val="00E802E4"/>
    <w:rsid w:val="00E809F5"/>
    <w:rsid w:val="00E80B84"/>
    <w:rsid w:val="00E81F06"/>
    <w:rsid w:val="00E8336E"/>
    <w:rsid w:val="00E842C7"/>
    <w:rsid w:val="00E854F0"/>
    <w:rsid w:val="00E856FF"/>
    <w:rsid w:val="00E90210"/>
    <w:rsid w:val="00E91A79"/>
    <w:rsid w:val="00E91B0F"/>
    <w:rsid w:val="00E92BEB"/>
    <w:rsid w:val="00E9309B"/>
    <w:rsid w:val="00E9418C"/>
    <w:rsid w:val="00E95DCF"/>
    <w:rsid w:val="00E961F0"/>
    <w:rsid w:val="00E9733B"/>
    <w:rsid w:val="00EA0491"/>
    <w:rsid w:val="00EA085F"/>
    <w:rsid w:val="00EA0C4E"/>
    <w:rsid w:val="00EA1184"/>
    <w:rsid w:val="00EA2502"/>
    <w:rsid w:val="00EA3D06"/>
    <w:rsid w:val="00EA42F4"/>
    <w:rsid w:val="00EA4587"/>
    <w:rsid w:val="00EA46EB"/>
    <w:rsid w:val="00EA4C89"/>
    <w:rsid w:val="00EA4E18"/>
    <w:rsid w:val="00EA61CC"/>
    <w:rsid w:val="00EA62B7"/>
    <w:rsid w:val="00EA7262"/>
    <w:rsid w:val="00EB038E"/>
    <w:rsid w:val="00EB1C0E"/>
    <w:rsid w:val="00EB1F2B"/>
    <w:rsid w:val="00EB23E0"/>
    <w:rsid w:val="00EB269B"/>
    <w:rsid w:val="00EB485B"/>
    <w:rsid w:val="00EB496D"/>
    <w:rsid w:val="00EB62D7"/>
    <w:rsid w:val="00EB64A6"/>
    <w:rsid w:val="00EB75D0"/>
    <w:rsid w:val="00EB7BD9"/>
    <w:rsid w:val="00EC0772"/>
    <w:rsid w:val="00EC08D2"/>
    <w:rsid w:val="00EC1A99"/>
    <w:rsid w:val="00EC1E31"/>
    <w:rsid w:val="00EC2927"/>
    <w:rsid w:val="00EC2936"/>
    <w:rsid w:val="00EC452A"/>
    <w:rsid w:val="00EC4689"/>
    <w:rsid w:val="00EC5F19"/>
    <w:rsid w:val="00EC6BD4"/>
    <w:rsid w:val="00ED00CE"/>
    <w:rsid w:val="00ED0155"/>
    <w:rsid w:val="00ED02EA"/>
    <w:rsid w:val="00ED07BF"/>
    <w:rsid w:val="00ED1E66"/>
    <w:rsid w:val="00ED26FB"/>
    <w:rsid w:val="00ED2C14"/>
    <w:rsid w:val="00ED31CF"/>
    <w:rsid w:val="00ED585E"/>
    <w:rsid w:val="00ED6538"/>
    <w:rsid w:val="00ED7822"/>
    <w:rsid w:val="00ED7F89"/>
    <w:rsid w:val="00EE126C"/>
    <w:rsid w:val="00EE136C"/>
    <w:rsid w:val="00EE15EA"/>
    <w:rsid w:val="00EE1A3F"/>
    <w:rsid w:val="00EE23B5"/>
    <w:rsid w:val="00EE544B"/>
    <w:rsid w:val="00EE7512"/>
    <w:rsid w:val="00EF0345"/>
    <w:rsid w:val="00EF0718"/>
    <w:rsid w:val="00EF1CDC"/>
    <w:rsid w:val="00EF1FD2"/>
    <w:rsid w:val="00EF288B"/>
    <w:rsid w:val="00EF29D7"/>
    <w:rsid w:val="00EF2EA6"/>
    <w:rsid w:val="00EF5367"/>
    <w:rsid w:val="00EF5742"/>
    <w:rsid w:val="00EF59F3"/>
    <w:rsid w:val="00EF605B"/>
    <w:rsid w:val="00EF6645"/>
    <w:rsid w:val="00EF68C9"/>
    <w:rsid w:val="00EF725A"/>
    <w:rsid w:val="00EF7C92"/>
    <w:rsid w:val="00F0076A"/>
    <w:rsid w:val="00F017C6"/>
    <w:rsid w:val="00F01E23"/>
    <w:rsid w:val="00F02BBD"/>
    <w:rsid w:val="00F03787"/>
    <w:rsid w:val="00F03B82"/>
    <w:rsid w:val="00F03EBD"/>
    <w:rsid w:val="00F03F6B"/>
    <w:rsid w:val="00F04A30"/>
    <w:rsid w:val="00F04B2D"/>
    <w:rsid w:val="00F060EB"/>
    <w:rsid w:val="00F06351"/>
    <w:rsid w:val="00F068B0"/>
    <w:rsid w:val="00F06F6C"/>
    <w:rsid w:val="00F109B8"/>
    <w:rsid w:val="00F10BA5"/>
    <w:rsid w:val="00F10E6F"/>
    <w:rsid w:val="00F12DF8"/>
    <w:rsid w:val="00F14261"/>
    <w:rsid w:val="00F144AA"/>
    <w:rsid w:val="00F1612C"/>
    <w:rsid w:val="00F162EB"/>
    <w:rsid w:val="00F16663"/>
    <w:rsid w:val="00F16B64"/>
    <w:rsid w:val="00F170D4"/>
    <w:rsid w:val="00F17B2A"/>
    <w:rsid w:val="00F17E03"/>
    <w:rsid w:val="00F2030A"/>
    <w:rsid w:val="00F20DC1"/>
    <w:rsid w:val="00F213AB"/>
    <w:rsid w:val="00F21CB9"/>
    <w:rsid w:val="00F21FCF"/>
    <w:rsid w:val="00F2287C"/>
    <w:rsid w:val="00F23588"/>
    <w:rsid w:val="00F2367F"/>
    <w:rsid w:val="00F238DE"/>
    <w:rsid w:val="00F241BA"/>
    <w:rsid w:val="00F2489E"/>
    <w:rsid w:val="00F24C82"/>
    <w:rsid w:val="00F25B5D"/>
    <w:rsid w:val="00F25C18"/>
    <w:rsid w:val="00F265D7"/>
    <w:rsid w:val="00F268A3"/>
    <w:rsid w:val="00F273B7"/>
    <w:rsid w:val="00F27CA0"/>
    <w:rsid w:val="00F3097A"/>
    <w:rsid w:val="00F317B5"/>
    <w:rsid w:val="00F32A13"/>
    <w:rsid w:val="00F334CC"/>
    <w:rsid w:val="00F3467B"/>
    <w:rsid w:val="00F347CB"/>
    <w:rsid w:val="00F34B6F"/>
    <w:rsid w:val="00F34DA9"/>
    <w:rsid w:val="00F3561E"/>
    <w:rsid w:val="00F36022"/>
    <w:rsid w:val="00F36BD9"/>
    <w:rsid w:val="00F36C4E"/>
    <w:rsid w:val="00F373AB"/>
    <w:rsid w:val="00F37AC1"/>
    <w:rsid w:val="00F37E55"/>
    <w:rsid w:val="00F401B2"/>
    <w:rsid w:val="00F40670"/>
    <w:rsid w:val="00F40E32"/>
    <w:rsid w:val="00F41260"/>
    <w:rsid w:val="00F416EE"/>
    <w:rsid w:val="00F426A5"/>
    <w:rsid w:val="00F42AD2"/>
    <w:rsid w:val="00F42E65"/>
    <w:rsid w:val="00F42E91"/>
    <w:rsid w:val="00F43159"/>
    <w:rsid w:val="00F434C9"/>
    <w:rsid w:val="00F43DB3"/>
    <w:rsid w:val="00F44447"/>
    <w:rsid w:val="00F4454D"/>
    <w:rsid w:val="00F44751"/>
    <w:rsid w:val="00F451FE"/>
    <w:rsid w:val="00F45F17"/>
    <w:rsid w:val="00F46D77"/>
    <w:rsid w:val="00F475E8"/>
    <w:rsid w:val="00F47A75"/>
    <w:rsid w:val="00F50F5F"/>
    <w:rsid w:val="00F5117B"/>
    <w:rsid w:val="00F51792"/>
    <w:rsid w:val="00F52642"/>
    <w:rsid w:val="00F52C50"/>
    <w:rsid w:val="00F52DC6"/>
    <w:rsid w:val="00F53D0B"/>
    <w:rsid w:val="00F540A3"/>
    <w:rsid w:val="00F54473"/>
    <w:rsid w:val="00F54A26"/>
    <w:rsid w:val="00F54FF3"/>
    <w:rsid w:val="00F5515B"/>
    <w:rsid w:val="00F5567C"/>
    <w:rsid w:val="00F561A9"/>
    <w:rsid w:val="00F5623A"/>
    <w:rsid w:val="00F56730"/>
    <w:rsid w:val="00F56B7F"/>
    <w:rsid w:val="00F56EFD"/>
    <w:rsid w:val="00F60B32"/>
    <w:rsid w:val="00F611B3"/>
    <w:rsid w:val="00F6159B"/>
    <w:rsid w:val="00F61940"/>
    <w:rsid w:val="00F631C1"/>
    <w:rsid w:val="00F6370F"/>
    <w:rsid w:val="00F644EE"/>
    <w:rsid w:val="00F645B5"/>
    <w:rsid w:val="00F65132"/>
    <w:rsid w:val="00F66BEA"/>
    <w:rsid w:val="00F67346"/>
    <w:rsid w:val="00F677F1"/>
    <w:rsid w:val="00F678F6"/>
    <w:rsid w:val="00F704DD"/>
    <w:rsid w:val="00F70A5C"/>
    <w:rsid w:val="00F71CE9"/>
    <w:rsid w:val="00F72122"/>
    <w:rsid w:val="00F7413C"/>
    <w:rsid w:val="00F8084E"/>
    <w:rsid w:val="00F80D3C"/>
    <w:rsid w:val="00F80DF2"/>
    <w:rsid w:val="00F8273E"/>
    <w:rsid w:val="00F827DE"/>
    <w:rsid w:val="00F8286E"/>
    <w:rsid w:val="00F82E24"/>
    <w:rsid w:val="00F8313D"/>
    <w:rsid w:val="00F833FF"/>
    <w:rsid w:val="00F83AD6"/>
    <w:rsid w:val="00F84883"/>
    <w:rsid w:val="00F85182"/>
    <w:rsid w:val="00F85884"/>
    <w:rsid w:val="00F85BB7"/>
    <w:rsid w:val="00F86411"/>
    <w:rsid w:val="00F86B8B"/>
    <w:rsid w:val="00F871D9"/>
    <w:rsid w:val="00F877E1"/>
    <w:rsid w:val="00F91383"/>
    <w:rsid w:val="00F9151D"/>
    <w:rsid w:val="00F91850"/>
    <w:rsid w:val="00F9229F"/>
    <w:rsid w:val="00F92442"/>
    <w:rsid w:val="00F9266F"/>
    <w:rsid w:val="00F9279A"/>
    <w:rsid w:val="00F92884"/>
    <w:rsid w:val="00F92B14"/>
    <w:rsid w:val="00F92B19"/>
    <w:rsid w:val="00F9358D"/>
    <w:rsid w:val="00F94797"/>
    <w:rsid w:val="00F9510B"/>
    <w:rsid w:val="00F958D6"/>
    <w:rsid w:val="00F96D45"/>
    <w:rsid w:val="00F96F37"/>
    <w:rsid w:val="00F97065"/>
    <w:rsid w:val="00FA0E0F"/>
    <w:rsid w:val="00FA1363"/>
    <w:rsid w:val="00FA13FF"/>
    <w:rsid w:val="00FA2225"/>
    <w:rsid w:val="00FA28F4"/>
    <w:rsid w:val="00FA3862"/>
    <w:rsid w:val="00FA388A"/>
    <w:rsid w:val="00FA4460"/>
    <w:rsid w:val="00FA47EB"/>
    <w:rsid w:val="00FA49A3"/>
    <w:rsid w:val="00FA4C1D"/>
    <w:rsid w:val="00FA4C8F"/>
    <w:rsid w:val="00FA541F"/>
    <w:rsid w:val="00FA5DE3"/>
    <w:rsid w:val="00FB0421"/>
    <w:rsid w:val="00FB0BC2"/>
    <w:rsid w:val="00FB1651"/>
    <w:rsid w:val="00FB2972"/>
    <w:rsid w:val="00FB30EF"/>
    <w:rsid w:val="00FB403D"/>
    <w:rsid w:val="00FB6752"/>
    <w:rsid w:val="00FB6F48"/>
    <w:rsid w:val="00FB7785"/>
    <w:rsid w:val="00FB77C7"/>
    <w:rsid w:val="00FB79F5"/>
    <w:rsid w:val="00FB7A49"/>
    <w:rsid w:val="00FC0089"/>
    <w:rsid w:val="00FC0417"/>
    <w:rsid w:val="00FC063A"/>
    <w:rsid w:val="00FC0A8C"/>
    <w:rsid w:val="00FC0DBB"/>
    <w:rsid w:val="00FC10D1"/>
    <w:rsid w:val="00FC112E"/>
    <w:rsid w:val="00FC305C"/>
    <w:rsid w:val="00FC3ECD"/>
    <w:rsid w:val="00FC4953"/>
    <w:rsid w:val="00FC59E3"/>
    <w:rsid w:val="00FC5F58"/>
    <w:rsid w:val="00FC6061"/>
    <w:rsid w:val="00FC6A04"/>
    <w:rsid w:val="00FC6A8C"/>
    <w:rsid w:val="00FC6B15"/>
    <w:rsid w:val="00FC7582"/>
    <w:rsid w:val="00FC7DF8"/>
    <w:rsid w:val="00FD0554"/>
    <w:rsid w:val="00FD0AF3"/>
    <w:rsid w:val="00FD257B"/>
    <w:rsid w:val="00FD2767"/>
    <w:rsid w:val="00FD3345"/>
    <w:rsid w:val="00FD3750"/>
    <w:rsid w:val="00FD44EE"/>
    <w:rsid w:val="00FD4886"/>
    <w:rsid w:val="00FD4CCC"/>
    <w:rsid w:val="00FD60AE"/>
    <w:rsid w:val="00FD6519"/>
    <w:rsid w:val="00FD6542"/>
    <w:rsid w:val="00FD6626"/>
    <w:rsid w:val="00FD68AC"/>
    <w:rsid w:val="00FD7055"/>
    <w:rsid w:val="00FD716B"/>
    <w:rsid w:val="00FD7B3F"/>
    <w:rsid w:val="00FE004A"/>
    <w:rsid w:val="00FE1B21"/>
    <w:rsid w:val="00FE2804"/>
    <w:rsid w:val="00FE2CC8"/>
    <w:rsid w:val="00FE32F0"/>
    <w:rsid w:val="00FE33C7"/>
    <w:rsid w:val="00FE3BF0"/>
    <w:rsid w:val="00FE4489"/>
    <w:rsid w:val="00FE664A"/>
    <w:rsid w:val="00FE73F4"/>
    <w:rsid w:val="00FE7705"/>
    <w:rsid w:val="00FF0341"/>
    <w:rsid w:val="00FF0436"/>
    <w:rsid w:val="00FF0646"/>
    <w:rsid w:val="00FF17DF"/>
    <w:rsid w:val="00FF1AE6"/>
    <w:rsid w:val="00FF2283"/>
    <w:rsid w:val="00FF2B9C"/>
    <w:rsid w:val="00FF3030"/>
    <w:rsid w:val="00FF34FF"/>
    <w:rsid w:val="00FF4362"/>
    <w:rsid w:val="00FF4B8A"/>
    <w:rsid w:val="00FF626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style="mso-width-relative:margin;mso-height-relative:margin" fillcolor="white" stroke="f" strokecolor="none [3212]">
      <v:fill color="white"/>
      <v:stroke color="none [3212]" on="f"/>
    </o:shapedefaults>
    <o:shapelayout v:ext="edit">
      <o:idmap v:ext="edit" data="2"/>
    </o:shapelayout>
  </w:shapeDefaults>
  <w:decimalSymbol w:val="."/>
  <w:listSeparator w:val=","/>
  <w14:docId w14:val="71E35FE1"/>
  <w15:docId w15:val="{DB7C9D29-3915-44A2-847B-7CB1DFB5A7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47A75"/>
    <w:rPr>
      <w:rFonts w:ascii="Times New Roman" w:hAnsi="Times New Roman"/>
      <w:sz w:val="24"/>
      <w:szCs w:val="22"/>
    </w:rPr>
  </w:style>
  <w:style w:type="paragraph" w:styleId="Heading1">
    <w:name w:val="heading 1"/>
    <w:basedOn w:val="Normal"/>
    <w:next w:val="Normal"/>
    <w:link w:val="Heading1Char"/>
    <w:uiPriority w:val="9"/>
    <w:qFormat/>
    <w:rsid w:val="00F47A75"/>
    <w:pPr>
      <w:keepNext/>
      <w:spacing w:before="240" w:after="60"/>
      <w:outlineLvl w:val="0"/>
    </w:pPr>
    <w:rPr>
      <w:rFonts w:eastAsia="Times New Roman"/>
      <w:b/>
      <w:bCs/>
      <w:kern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rsid w:val="00423383"/>
    <w:pPr>
      <w:widowControl w:val="0"/>
      <w:autoSpaceDE w:val="0"/>
      <w:autoSpaceDN w:val="0"/>
    </w:pPr>
    <w:rPr>
      <w:rFonts w:eastAsia="Times New Roman"/>
      <w:szCs w:val="24"/>
    </w:rPr>
  </w:style>
  <w:style w:type="character" w:customStyle="1" w:styleId="BodyTextChar">
    <w:name w:val="Body Text Char"/>
    <w:link w:val="BodyText"/>
    <w:uiPriority w:val="99"/>
    <w:rsid w:val="00423383"/>
    <w:rPr>
      <w:rFonts w:ascii="Times New Roman" w:eastAsia="Times New Roman" w:hAnsi="Times New Roman" w:cs="Times New Roman"/>
      <w:sz w:val="24"/>
      <w:szCs w:val="24"/>
    </w:rPr>
  </w:style>
  <w:style w:type="paragraph" w:styleId="ListParagraph">
    <w:name w:val="List Paragraph"/>
    <w:basedOn w:val="Normal"/>
    <w:uiPriority w:val="34"/>
    <w:qFormat/>
    <w:rsid w:val="0008223C"/>
    <w:pPr>
      <w:ind w:left="720"/>
    </w:pPr>
  </w:style>
  <w:style w:type="paragraph" w:styleId="FootnoteText">
    <w:name w:val="footnote text"/>
    <w:basedOn w:val="Normal"/>
    <w:link w:val="FootnoteTextChar"/>
    <w:unhideWhenUsed/>
    <w:rsid w:val="00F47A75"/>
    <w:rPr>
      <w:sz w:val="20"/>
      <w:szCs w:val="20"/>
    </w:rPr>
  </w:style>
  <w:style w:type="character" w:customStyle="1" w:styleId="FootnoteTextChar">
    <w:name w:val="Footnote Text Char"/>
    <w:link w:val="FootnoteText"/>
    <w:rsid w:val="00F47A75"/>
    <w:rPr>
      <w:rFonts w:ascii="Times New Roman" w:hAnsi="Times New Roman"/>
    </w:rPr>
  </w:style>
  <w:style w:type="character" w:styleId="FootnoteReference">
    <w:name w:val="footnote reference"/>
    <w:uiPriority w:val="99"/>
    <w:unhideWhenUsed/>
    <w:rsid w:val="004C7664"/>
    <w:rPr>
      <w:vertAlign w:val="superscript"/>
    </w:rPr>
  </w:style>
  <w:style w:type="paragraph" w:styleId="BalloonText">
    <w:name w:val="Balloon Text"/>
    <w:basedOn w:val="Normal"/>
    <w:link w:val="BalloonTextChar"/>
    <w:uiPriority w:val="99"/>
    <w:semiHidden/>
    <w:unhideWhenUsed/>
    <w:rsid w:val="00497E18"/>
    <w:rPr>
      <w:rFonts w:ascii="Tahoma" w:hAnsi="Tahoma"/>
      <w:sz w:val="16"/>
      <w:szCs w:val="16"/>
    </w:rPr>
  </w:style>
  <w:style w:type="character" w:customStyle="1" w:styleId="BalloonTextChar">
    <w:name w:val="Balloon Text Char"/>
    <w:link w:val="BalloonText"/>
    <w:uiPriority w:val="99"/>
    <w:semiHidden/>
    <w:rsid w:val="00497E18"/>
    <w:rPr>
      <w:rFonts w:ascii="Tahoma" w:hAnsi="Tahoma" w:cs="Tahoma"/>
      <w:sz w:val="16"/>
      <w:szCs w:val="16"/>
    </w:rPr>
  </w:style>
  <w:style w:type="paragraph" w:styleId="Header">
    <w:name w:val="header"/>
    <w:basedOn w:val="Normal"/>
    <w:link w:val="HeaderChar"/>
    <w:uiPriority w:val="99"/>
    <w:unhideWhenUsed/>
    <w:rsid w:val="00F611B3"/>
    <w:pPr>
      <w:tabs>
        <w:tab w:val="center" w:pos="4680"/>
        <w:tab w:val="right" w:pos="9360"/>
      </w:tabs>
    </w:pPr>
  </w:style>
  <w:style w:type="character" w:customStyle="1" w:styleId="HeaderChar">
    <w:name w:val="Header Char"/>
    <w:basedOn w:val="DefaultParagraphFont"/>
    <w:link w:val="Header"/>
    <w:uiPriority w:val="99"/>
    <w:rsid w:val="00F611B3"/>
  </w:style>
  <w:style w:type="paragraph" w:styleId="Footer">
    <w:name w:val="footer"/>
    <w:basedOn w:val="Normal"/>
    <w:link w:val="FooterChar"/>
    <w:uiPriority w:val="99"/>
    <w:unhideWhenUsed/>
    <w:rsid w:val="00F611B3"/>
    <w:pPr>
      <w:tabs>
        <w:tab w:val="center" w:pos="4680"/>
        <w:tab w:val="right" w:pos="9360"/>
      </w:tabs>
    </w:pPr>
  </w:style>
  <w:style w:type="character" w:customStyle="1" w:styleId="FooterChar">
    <w:name w:val="Footer Char"/>
    <w:basedOn w:val="DefaultParagraphFont"/>
    <w:link w:val="Footer"/>
    <w:uiPriority w:val="99"/>
    <w:rsid w:val="00F611B3"/>
  </w:style>
  <w:style w:type="table" w:styleId="TableGrid">
    <w:name w:val="Table Grid"/>
    <w:basedOn w:val="TableNormal"/>
    <w:uiPriority w:val="59"/>
    <w:rsid w:val="00D9451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Caption">
    <w:name w:val="caption"/>
    <w:basedOn w:val="Normal"/>
    <w:next w:val="Normal"/>
    <w:uiPriority w:val="35"/>
    <w:unhideWhenUsed/>
    <w:qFormat/>
    <w:rsid w:val="00D94511"/>
    <w:pPr>
      <w:spacing w:after="200"/>
    </w:pPr>
    <w:rPr>
      <w:b/>
      <w:bCs/>
      <w:color w:val="4F81BD"/>
      <w:sz w:val="18"/>
      <w:szCs w:val="18"/>
    </w:rPr>
  </w:style>
  <w:style w:type="character" w:styleId="Hyperlink">
    <w:name w:val="Hyperlink"/>
    <w:uiPriority w:val="99"/>
    <w:unhideWhenUsed/>
    <w:rsid w:val="00792046"/>
    <w:rPr>
      <w:color w:val="0000FF"/>
      <w:u w:val="single"/>
    </w:rPr>
  </w:style>
  <w:style w:type="character" w:styleId="CommentReference">
    <w:name w:val="annotation reference"/>
    <w:uiPriority w:val="99"/>
    <w:semiHidden/>
    <w:unhideWhenUsed/>
    <w:rsid w:val="00BB7014"/>
    <w:rPr>
      <w:sz w:val="16"/>
      <w:szCs w:val="16"/>
    </w:rPr>
  </w:style>
  <w:style w:type="paragraph" w:styleId="CommentText">
    <w:name w:val="annotation text"/>
    <w:basedOn w:val="Normal"/>
    <w:link w:val="CommentTextChar"/>
    <w:uiPriority w:val="99"/>
    <w:unhideWhenUsed/>
    <w:rsid w:val="00BB7014"/>
    <w:rPr>
      <w:rFonts w:ascii="Calibri" w:hAnsi="Calibri"/>
      <w:sz w:val="20"/>
      <w:szCs w:val="20"/>
    </w:rPr>
  </w:style>
  <w:style w:type="character" w:customStyle="1" w:styleId="CommentTextChar">
    <w:name w:val="Comment Text Char"/>
    <w:link w:val="CommentText"/>
    <w:uiPriority w:val="99"/>
    <w:rsid w:val="00BB7014"/>
    <w:rPr>
      <w:sz w:val="20"/>
      <w:szCs w:val="20"/>
    </w:rPr>
  </w:style>
  <w:style w:type="paragraph" w:styleId="CommentSubject">
    <w:name w:val="annotation subject"/>
    <w:basedOn w:val="CommentText"/>
    <w:next w:val="CommentText"/>
    <w:link w:val="CommentSubjectChar"/>
    <w:uiPriority w:val="99"/>
    <w:semiHidden/>
    <w:unhideWhenUsed/>
    <w:rsid w:val="00BB7014"/>
    <w:rPr>
      <w:b/>
      <w:bCs/>
    </w:rPr>
  </w:style>
  <w:style w:type="character" w:customStyle="1" w:styleId="CommentSubjectChar">
    <w:name w:val="Comment Subject Char"/>
    <w:link w:val="CommentSubject"/>
    <w:uiPriority w:val="99"/>
    <w:semiHidden/>
    <w:rsid w:val="00BB7014"/>
    <w:rPr>
      <w:b/>
      <w:bCs/>
      <w:sz w:val="20"/>
      <w:szCs w:val="20"/>
    </w:rPr>
  </w:style>
  <w:style w:type="character" w:styleId="Strong">
    <w:name w:val="Strong"/>
    <w:uiPriority w:val="22"/>
    <w:qFormat/>
    <w:rsid w:val="00C20FA1"/>
    <w:rPr>
      <w:b/>
      <w:bCs/>
    </w:rPr>
  </w:style>
  <w:style w:type="paragraph" w:styleId="MessageHeader">
    <w:name w:val="Message Header"/>
    <w:basedOn w:val="Normal"/>
    <w:link w:val="MessageHeaderChar"/>
    <w:semiHidden/>
    <w:rsid w:val="00B55D26"/>
    <w:pPr>
      <w:keepLines/>
      <w:spacing w:after="120" w:line="240" w:lineRule="atLeast"/>
      <w:ind w:left="1080" w:hanging="1080"/>
    </w:pPr>
    <w:rPr>
      <w:rFonts w:ascii="Garamond" w:eastAsia="Times New Roman" w:hAnsi="Garamond"/>
      <w:caps/>
      <w:sz w:val="18"/>
      <w:szCs w:val="20"/>
    </w:rPr>
  </w:style>
  <w:style w:type="character" w:customStyle="1" w:styleId="MessageHeaderChar">
    <w:name w:val="Message Header Char"/>
    <w:link w:val="MessageHeader"/>
    <w:semiHidden/>
    <w:rsid w:val="00B55D26"/>
    <w:rPr>
      <w:rFonts w:ascii="Garamond" w:eastAsia="Times New Roman" w:hAnsi="Garamond" w:cs="Times New Roman"/>
      <w:caps/>
      <w:sz w:val="18"/>
      <w:szCs w:val="20"/>
    </w:rPr>
  </w:style>
  <w:style w:type="character" w:customStyle="1" w:styleId="MessageHeaderLabel">
    <w:name w:val="Message Header Label"/>
    <w:rsid w:val="00B55D26"/>
    <w:rPr>
      <w:b/>
      <w:sz w:val="18"/>
    </w:rPr>
  </w:style>
  <w:style w:type="paragraph" w:customStyle="1" w:styleId="Default">
    <w:name w:val="Default"/>
    <w:rsid w:val="00092DA1"/>
    <w:pPr>
      <w:autoSpaceDE w:val="0"/>
      <w:autoSpaceDN w:val="0"/>
      <w:adjustRightInd w:val="0"/>
    </w:pPr>
    <w:rPr>
      <w:rFonts w:ascii="Times New Roman" w:hAnsi="Times New Roman"/>
      <w:color w:val="000000"/>
      <w:sz w:val="24"/>
      <w:szCs w:val="24"/>
    </w:rPr>
  </w:style>
  <w:style w:type="paragraph" w:styleId="PlainText">
    <w:name w:val="Plain Text"/>
    <w:basedOn w:val="Normal"/>
    <w:link w:val="PlainTextChar"/>
    <w:uiPriority w:val="99"/>
    <w:unhideWhenUsed/>
    <w:rsid w:val="00A66922"/>
    <w:rPr>
      <w:rFonts w:ascii="Arial" w:eastAsia="Times New Roman" w:hAnsi="Arial"/>
      <w:sz w:val="20"/>
      <w:szCs w:val="21"/>
    </w:rPr>
  </w:style>
  <w:style w:type="character" w:customStyle="1" w:styleId="PlainTextChar">
    <w:name w:val="Plain Text Char"/>
    <w:link w:val="PlainText"/>
    <w:uiPriority w:val="99"/>
    <w:rsid w:val="00A66922"/>
    <w:rPr>
      <w:rFonts w:ascii="Arial" w:eastAsia="Times New Roman" w:hAnsi="Arial"/>
      <w:szCs w:val="21"/>
    </w:rPr>
  </w:style>
  <w:style w:type="paragraph" w:customStyle="1" w:styleId="CM7">
    <w:name w:val="CM7"/>
    <w:basedOn w:val="Default"/>
    <w:next w:val="Default"/>
    <w:uiPriority w:val="99"/>
    <w:rsid w:val="002A0970"/>
    <w:rPr>
      <w:rFonts w:eastAsia="Times New Roman"/>
      <w:color w:val="auto"/>
    </w:rPr>
  </w:style>
  <w:style w:type="character" w:styleId="FollowedHyperlink">
    <w:name w:val="FollowedHyperlink"/>
    <w:uiPriority w:val="99"/>
    <w:semiHidden/>
    <w:unhideWhenUsed/>
    <w:rsid w:val="00751748"/>
    <w:rPr>
      <w:color w:val="800080"/>
      <w:u w:val="single"/>
    </w:rPr>
  </w:style>
  <w:style w:type="paragraph" w:styleId="EndnoteText">
    <w:name w:val="endnote text"/>
    <w:basedOn w:val="Normal"/>
    <w:link w:val="EndnoteTextChar"/>
    <w:uiPriority w:val="99"/>
    <w:semiHidden/>
    <w:unhideWhenUsed/>
    <w:rsid w:val="00EA46EB"/>
    <w:rPr>
      <w:sz w:val="20"/>
      <w:szCs w:val="20"/>
    </w:rPr>
  </w:style>
  <w:style w:type="character" w:customStyle="1" w:styleId="EndnoteTextChar">
    <w:name w:val="Endnote Text Char"/>
    <w:basedOn w:val="DefaultParagraphFont"/>
    <w:link w:val="EndnoteText"/>
    <w:uiPriority w:val="99"/>
    <w:semiHidden/>
    <w:rsid w:val="00EA46EB"/>
  </w:style>
  <w:style w:type="character" w:styleId="EndnoteReference">
    <w:name w:val="endnote reference"/>
    <w:uiPriority w:val="99"/>
    <w:semiHidden/>
    <w:unhideWhenUsed/>
    <w:rsid w:val="00EA46EB"/>
    <w:rPr>
      <w:vertAlign w:val="superscript"/>
    </w:rPr>
  </w:style>
  <w:style w:type="character" w:customStyle="1" w:styleId="Heading1Char">
    <w:name w:val="Heading 1 Char"/>
    <w:basedOn w:val="DefaultParagraphFont"/>
    <w:link w:val="Heading1"/>
    <w:uiPriority w:val="9"/>
    <w:rsid w:val="00F47A75"/>
    <w:rPr>
      <w:rFonts w:ascii="Times New Roman" w:eastAsia="Times New Roman" w:hAnsi="Times New Roman" w:cs="Times New Roman"/>
      <w:b/>
      <w:bCs/>
      <w:kern w:val="32"/>
      <w:sz w:val="24"/>
      <w:szCs w:val="32"/>
    </w:rPr>
  </w:style>
  <w:style w:type="character" w:styleId="LineNumber">
    <w:name w:val="line number"/>
    <w:basedOn w:val="DefaultParagraphFont"/>
    <w:uiPriority w:val="99"/>
    <w:semiHidden/>
    <w:unhideWhenUsed/>
    <w:rsid w:val="005303B6"/>
  </w:style>
  <w:style w:type="character" w:styleId="UnresolvedMention">
    <w:name w:val="Unresolved Mention"/>
    <w:basedOn w:val="DefaultParagraphFont"/>
    <w:uiPriority w:val="99"/>
    <w:semiHidden/>
    <w:unhideWhenUsed/>
    <w:rsid w:val="00CE13C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7579380">
      <w:bodyDiv w:val="1"/>
      <w:marLeft w:val="0"/>
      <w:marRight w:val="0"/>
      <w:marTop w:val="0"/>
      <w:marBottom w:val="0"/>
      <w:divBdr>
        <w:top w:val="none" w:sz="0" w:space="0" w:color="auto"/>
        <w:left w:val="none" w:sz="0" w:space="0" w:color="auto"/>
        <w:bottom w:val="none" w:sz="0" w:space="0" w:color="auto"/>
        <w:right w:val="none" w:sz="0" w:space="0" w:color="auto"/>
      </w:divBdr>
    </w:div>
    <w:div w:id="122042858">
      <w:bodyDiv w:val="1"/>
      <w:marLeft w:val="0"/>
      <w:marRight w:val="0"/>
      <w:marTop w:val="0"/>
      <w:marBottom w:val="0"/>
      <w:divBdr>
        <w:top w:val="none" w:sz="0" w:space="0" w:color="auto"/>
        <w:left w:val="none" w:sz="0" w:space="0" w:color="auto"/>
        <w:bottom w:val="none" w:sz="0" w:space="0" w:color="auto"/>
        <w:right w:val="none" w:sz="0" w:space="0" w:color="auto"/>
      </w:divBdr>
    </w:div>
    <w:div w:id="169412416">
      <w:bodyDiv w:val="1"/>
      <w:marLeft w:val="0"/>
      <w:marRight w:val="0"/>
      <w:marTop w:val="0"/>
      <w:marBottom w:val="0"/>
      <w:divBdr>
        <w:top w:val="none" w:sz="0" w:space="0" w:color="auto"/>
        <w:left w:val="none" w:sz="0" w:space="0" w:color="auto"/>
        <w:bottom w:val="none" w:sz="0" w:space="0" w:color="auto"/>
        <w:right w:val="none" w:sz="0" w:space="0" w:color="auto"/>
      </w:divBdr>
    </w:div>
    <w:div w:id="214004490">
      <w:bodyDiv w:val="1"/>
      <w:marLeft w:val="0"/>
      <w:marRight w:val="0"/>
      <w:marTop w:val="0"/>
      <w:marBottom w:val="0"/>
      <w:divBdr>
        <w:top w:val="none" w:sz="0" w:space="0" w:color="auto"/>
        <w:left w:val="none" w:sz="0" w:space="0" w:color="auto"/>
        <w:bottom w:val="none" w:sz="0" w:space="0" w:color="auto"/>
        <w:right w:val="none" w:sz="0" w:space="0" w:color="auto"/>
      </w:divBdr>
    </w:div>
    <w:div w:id="251939431">
      <w:bodyDiv w:val="1"/>
      <w:marLeft w:val="0"/>
      <w:marRight w:val="0"/>
      <w:marTop w:val="0"/>
      <w:marBottom w:val="0"/>
      <w:divBdr>
        <w:top w:val="none" w:sz="0" w:space="0" w:color="auto"/>
        <w:left w:val="none" w:sz="0" w:space="0" w:color="auto"/>
        <w:bottom w:val="none" w:sz="0" w:space="0" w:color="auto"/>
        <w:right w:val="none" w:sz="0" w:space="0" w:color="auto"/>
      </w:divBdr>
    </w:div>
    <w:div w:id="266161173">
      <w:bodyDiv w:val="1"/>
      <w:marLeft w:val="0"/>
      <w:marRight w:val="0"/>
      <w:marTop w:val="0"/>
      <w:marBottom w:val="0"/>
      <w:divBdr>
        <w:top w:val="none" w:sz="0" w:space="0" w:color="auto"/>
        <w:left w:val="none" w:sz="0" w:space="0" w:color="auto"/>
        <w:bottom w:val="none" w:sz="0" w:space="0" w:color="auto"/>
        <w:right w:val="none" w:sz="0" w:space="0" w:color="auto"/>
      </w:divBdr>
    </w:div>
    <w:div w:id="319113303">
      <w:bodyDiv w:val="1"/>
      <w:marLeft w:val="0"/>
      <w:marRight w:val="0"/>
      <w:marTop w:val="0"/>
      <w:marBottom w:val="0"/>
      <w:divBdr>
        <w:top w:val="none" w:sz="0" w:space="0" w:color="auto"/>
        <w:left w:val="none" w:sz="0" w:space="0" w:color="auto"/>
        <w:bottom w:val="none" w:sz="0" w:space="0" w:color="auto"/>
        <w:right w:val="none" w:sz="0" w:space="0" w:color="auto"/>
      </w:divBdr>
    </w:div>
    <w:div w:id="453600405">
      <w:bodyDiv w:val="1"/>
      <w:marLeft w:val="0"/>
      <w:marRight w:val="0"/>
      <w:marTop w:val="0"/>
      <w:marBottom w:val="0"/>
      <w:divBdr>
        <w:top w:val="none" w:sz="0" w:space="0" w:color="auto"/>
        <w:left w:val="none" w:sz="0" w:space="0" w:color="auto"/>
        <w:bottom w:val="none" w:sz="0" w:space="0" w:color="auto"/>
        <w:right w:val="none" w:sz="0" w:space="0" w:color="auto"/>
      </w:divBdr>
    </w:div>
    <w:div w:id="460654912">
      <w:bodyDiv w:val="1"/>
      <w:marLeft w:val="0"/>
      <w:marRight w:val="0"/>
      <w:marTop w:val="0"/>
      <w:marBottom w:val="0"/>
      <w:divBdr>
        <w:top w:val="none" w:sz="0" w:space="0" w:color="auto"/>
        <w:left w:val="none" w:sz="0" w:space="0" w:color="auto"/>
        <w:bottom w:val="none" w:sz="0" w:space="0" w:color="auto"/>
        <w:right w:val="none" w:sz="0" w:space="0" w:color="auto"/>
      </w:divBdr>
    </w:div>
    <w:div w:id="554656526">
      <w:bodyDiv w:val="1"/>
      <w:marLeft w:val="0"/>
      <w:marRight w:val="0"/>
      <w:marTop w:val="0"/>
      <w:marBottom w:val="0"/>
      <w:divBdr>
        <w:top w:val="none" w:sz="0" w:space="0" w:color="auto"/>
        <w:left w:val="none" w:sz="0" w:space="0" w:color="auto"/>
        <w:bottom w:val="none" w:sz="0" w:space="0" w:color="auto"/>
        <w:right w:val="none" w:sz="0" w:space="0" w:color="auto"/>
      </w:divBdr>
    </w:div>
    <w:div w:id="597713667">
      <w:bodyDiv w:val="1"/>
      <w:marLeft w:val="0"/>
      <w:marRight w:val="0"/>
      <w:marTop w:val="0"/>
      <w:marBottom w:val="0"/>
      <w:divBdr>
        <w:top w:val="none" w:sz="0" w:space="0" w:color="auto"/>
        <w:left w:val="none" w:sz="0" w:space="0" w:color="auto"/>
        <w:bottom w:val="none" w:sz="0" w:space="0" w:color="auto"/>
        <w:right w:val="none" w:sz="0" w:space="0" w:color="auto"/>
      </w:divBdr>
    </w:div>
    <w:div w:id="601568798">
      <w:bodyDiv w:val="1"/>
      <w:marLeft w:val="0"/>
      <w:marRight w:val="0"/>
      <w:marTop w:val="0"/>
      <w:marBottom w:val="0"/>
      <w:divBdr>
        <w:top w:val="none" w:sz="0" w:space="0" w:color="auto"/>
        <w:left w:val="none" w:sz="0" w:space="0" w:color="auto"/>
        <w:bottom w:val="none" w:sz="0" w:space="0" w:color="auto"/>
        <w:right w:val="none" w:sz="0" w:space="0" w:color="auto"/>
      </w:divBdr>
    </w:div>
    <w:div w:id="639384685">
      <w:bodyDiv w:val="1"/>
      <w:marLeft w:val="0"/>
      <w:marRight w:val="0"/>
      <w:marTop w:val="0"/>
      <w:marBottom w:val="0"/>
      <w:divBdr>
        <w:top w:val="none" w:sz="0" w:space="0" w:color="auto"/>
        <w:left w:val="none" w:sz="0" w:space="0" w:color="auto"/>
        <w:bottom w:val="none" w:sz="0" w:space="0" w:color="auto"/>
        <w:right w:val="none" w:sz="0" w:space="0" w:color="auto"/>
      </w:divBdr>
    </w:div>
    <w:div w:id="672535337">
      <w:bodyDiv w:val="1"/>
      <w:marLeft w:val="0"/>
      <w:marRight w:val="0"/>
      <w:marTop w:val="0"/>
      <w:marBottom w:val="0"/>
      <w:divBdr>
        <w:top w:val="none" w:sz="0" w:space="0" w:color="auto"/>
        <w:left w:val="none" w:sz="0" w:space="0" w:color="auto"/>
        <w:bottom w:val="none" w:sz="0" w:space="0" w:color="auto"/>
        <w:right w:val="none" w:sz="0" w:space="0" w:color="auto"/>
      </w:divBdr>
    </w:div>
    <w:div w:id="676538089">
      <w:bodyDiv w:val="1"/>
      <w:marLeft w:val="0"/>
      <w:marRight w:val="0"/>
      <w:marTop w:val="0"/>
      <w:marBottom w:val="0"/>
      <w:divBdr>
        <w:top w:val="none" w:sz="0" w:space="0" w:color="auto"/>
        <w:left w:val="none" w:sz="0" w:space="0" w:color="auto"/>
        <w:bottom w:val="none" w:sz="0" w:space="0" w:color="auto"/>
        <w:right w:val="none" w:sz="0" w:space="0" w:color="auto"/>
      </w:divBdr>
    </w:div>
    <w:div w:id="720522914">
      <w:bodyDiv w:val="1"/>
      <w:marLeft w:val="0"/>
      <w:marRight w:val="0"/>
      <w:marTop w:val="0"/>
      <w:marBottom w:val="0"/>
      <w:divBdr>
        <w:top w:val="none" w:sz="0" w:space="0" w:color="auto"/>
        <w:left w:val="none" w:sz="0" w:space="0" w:color="auto"/>
        <w:bottom w:val="none" w:sz="0" w:space="0" w:color="auto"/>
        <w:right w:val="none" w:sz="0" w:space="0" w:color="auto"/>
      </w:divBdr>
    </w:div>
    <w:div w:id="729841421">
      <w:bodyDiv w:val="1"/>
      <w:marLeft w:val="0"/>
      <w:marRight w:val="0"/>
      <w:marTop w:val="0"/>
      <w:marBottom w:val="0"/>
      <w:divBdr>
        <w:top w:val="none" w:sz="0" w:space="0" w:color="auto"/>
        <w:left w:val="none" w:sz="0" w:space="0" w:color="auto"/>
        <w:bottom w:val="none" w:sz="0" w:space="0" w:color="auto"/>
        <w:right w:val="none" w:sz="0" w:space="0" w:color="auto"/>
      </w:divBdr>
    </w:div>
    <w:div w:id="742796877">
      <w:bodyDiv w:val="1"/>
      <w:marLeft w:val="0"/>
      <w:marRight w:val="0"/>
      <w:marTop w:val="0"/>
      <w:marBottom w:val="0"/>
      <w:divBdr>
        <w:top w:val="none" w:sz="0" w:space="0" w:color="auto"/>
        <w:left w:val="none" w:sz="0" w:space="0" w:color="auto"/>
        <w:bottom w:val="none" w:sz="0" w:space="0" w:color="auto"/>
        <w:right w:val="none" w:sz="0" w:space="0" w:color="auto"/>
      </w:divBdr>
    </w:div>
    <w:div w:id="783697621">
      <w:bodyDiv w:val="1"/>
      <w:marLeft w:val="0"/>
      <w:marRight w:val="0"/>
      <w:marTop w:val="0"/>
      <w:marBottom w:val="0"/>
      <w:divBdr>
        <w:top w:val="none" w:sz="0" w:space="0" w:color="auto"/>
        <w:left w:val="none" w:sz="0" w:space="0" w:color="auto"/>
        <w:bottom w:val="none" w:sz="0" w:space="0" w:color="auto"/>
        <w:right w:val="none" w:sz="0" w:space="0" w:color="auto"/>
      </w:divBdr>
    </w:div>
    <w:div w:id="856039847">
      <w:bodyDiv w:val="1"/>
      <w:marLeft w:val="0"/>
      <w:marRight w:val="0"/>
      <w:marTop w:val="0"/>
      <w:marBottom w:val="0"/>
      <w:divBdr>
        <w:top w:val="none" w:sz="0" w:space="0" w:color="auto"/>
        <w:left w:val="none" w:sz="0" w:space="0" w:color="auto"/>
        <w:bottom w:val="none" w:sz="0" w:space="0" w:color="auto"/>
        <w:right w:val="none" w:sz="0" w:space="0" w:color="auto"/>
      </w:divBdr>
    </w:div>
    <w:div w:id="872962567">
      <w:bodyDiv w:val="1"/>
      <w:marLeft w:val="0"/>
      <w:marRight w:val="0"/>
      <w:marTop w:val="0"/>
      <w:marBottom w:val="0"/>
      <w:divBdr>
        <w:top w:val="none" w:sz="0" w:space="0" w:color="auto"/>
        <w:left w:val="none" w:sz="0" w:space="0" w:color="auto"/>
        <w:bottom w:val="none" w:sz="0" w:space="0" w:color="auto"/>
        <w:right w:val="none" w:sz="0" w:space="0" w:color="auto"/>
      </w:divBdr>
    </w:div>
    <w:div w:id="879708737">
      <w:bodyDiv w:val="1"/>
      <w:marLeft w:val="0"/>
      <w:marRight w:val="0"/>
      <w:marTop w:val="0"/>
      <w:marBottom w:val="0"/>
      <w:divBdr>
        <w:top w:val="none" w:sz="0" w:space="0" w:color="auto"/>
        <w:left w:val="none" w:sz="0" w:space="0" w:color="auto"/>
        <w:bottom w:val="none" w:sz="0" w:space="0" w:color="auto"/>
        <w:right w:val="none" w:sz="0" w:space="0" w:color="auto"/>
      </w:divBdr>
    </w:div>
    <w:div w:id="899251995">
      <w:bodyDiv w:val="1"/>
      <w:marLeft w:val="0"/>
      <w:marRight w:val="0"/>
      <w:marTop w:val="0"/>
      <w:marBottom w:val="0"/>
      <w:divBdr>
        <w:top w:val="none" w:sz="0" w:space="0" w:color="auto"/>
        <w:left w:val="none" w:sz="0" w:space="0" w:color="auto"/>
        <w:bottom w:val="none" w:sz="0" w:space="0" w:color="auto"/>
        <w:right w:val="none" w:sz="0" w:space="0" w:color="auto"/>
      </w:divBdr>
    </w:div>
    <w:div w:id="949315088">
      <w:bodyDiv w:val="1"/>
      <w:marLeft w:val="0"/>
      <w:marRight w:val="0"/>
      <w:marTop w:val="0"/>
      <w:marBottom w:val="0"/>
      <w:divBdr>
        <w:top w:val="none" w:sz="0" w:space="0" w:color="auto"/>
        <w:left w:val="none" w:sz="0" w:space="0" w:color="auto"/>
        <w:bottom w:val="none" w:sz="0" w:space="0" w:color="auto"/>
        <w:right w:val="none" w:sz="0" w:space="0" w:color="auto"/>
      </w:divBdr>
    </w:div>
    <w:div w:id="988291800">
      <w:bodyDiv w:val="1"/>
      <w:marLeft w:val="0"/>
      <w:marRight w:val="0"/>
      <w:marTop w:val="0"/>
      <w:marBottom w:val="0"/>
      <w:divBdr>
        <w:top w:val="none" w:sz="0" w:space="0" w:color="auto"/>
        <w:left w:val="none" w:sz="0" w:space="0" w:color="auto"/>
        <w:bottom w:val="none" w:sz="0" w:space="0" w:color="auto"/>
        <w:right w:val="none" w:sz="0" w:space="0" w:color="auto"/>
      </w:divBdr>
    </w:div>
    <w:div w:id="1000088167">
      <w:bodyDiv w:val="1"/>
      <w:marLeft w:val="0"/>
      <w:marRight w:val="0"/>
      <w:marTop w:val="0"/>
      <w:marBottom w:val="0"/>
      <w:divBdr>
        <w:top w:val="none" w:sz="0" w:space="0" w:color="auto"/>
        <w:left w:val="none" w:sz="0" w:space="0" w:color="auto"/>
        <w:bottom w:val="none" w:sz="0" w:space="0" w:color="auto"/>
        <w:right w:val="none" w:sz="0" w:space="0" w:color="auto"/>
      </w:divBdr>
    </w:div>
    <w:div w:id="1004361384">
      <w:bodyDiv w:val="1"/>
      <w:marLeft w:val="0"/>
      <w:marRight w:val="0"/>
      <w:marTop w:val="0"/>
      <w:marBottom w:val="0"/>
      <w:divBdr>
        <w:top w:val="none" w:sz="0" w:space="0" w:color="auto"/>
        <w:left w:val="none" w:sz="0" w:space="0" w:color="auto"/>
        <w:bottom w:val="none" w:sz="0" w:space="0" w:color="auto"/>
        <w:right w:val="none" w:sz="0" w:space="0" w:color="auto"/>
      </w:divBdr>
    </w:div>
    <w:div w:id="1004479647">
      <w:bodyDiv w:val="1"/>
      <w:marLeft w:val="0"/>
      <w:marRight w:val="0"/>
      <w:marTop w:val="0"/>
      <w:marBottom w:val="0"/>
      <w:divBdr>
        <w:top w:val="none" w:sz="0" w:space="0" w:color="auto"/>
        <w:left w:val="none" w:sz="0" w:space="0" w:color="auto"/>
        <w:bottom w:val="none" w:sz="0" w:space="0" w:color="auto"/>
        <w:right w:val="none" w:sz="0" w:space="0" w:color="auto"/>
      </w:divBdr>
    </w:div>
    <w:div w:id="1059936693">
      <w:bodyDiv w:val="1"/>
      <w:marLeft w:val="0"/>
      <w:marRight w:val="0"/>
      <w:marTop w:val="0"/>
      <w:marBottom w:val="0"/>
      <w:divBdr>
        <w:top w:val="none" w:sz="0" w:space="0" w:color="auto"/>
        <w:left w:val="none" w:sz="0" w:space="0" w:color="auto"/>
        <w:bottom w:val="none" w:sz="0" w:space="0" w:color="auto"/>
        <w:right w:val="none" w:sz="0" w:space="0" w:color="auto"/>
      </w:divBdr>
    </w:div>
    <w:div w:id="1118257796">
      <w:bodyDiv w:val="1"/>
      <w:marLeft w:val="0"/>
      <w:marRight w:val="0"/>
      <w:marTop w:val="0"/>
      <w:marBottom w:val="0"/>
      <w:divBdr>
        <w:top w:val="none" w:sz="0" w:space="0" w:color="auto"/>
        <w:left w:val="none" w:sz="0" w:space="0" w:color="auto"/>
        <w:bottom w:val="none" w:sz="0" w:space="0" w:color="auto"/>
        <w:right w:val="none" w:sz="0" w:space="0" w:color="auto"/>
      </w:divBdr>
    </w:div>
    <w:div w:id="1142845472">
      <w:bodyDiv w:val="1"/>
      <w:marLeft w:val="0"/>
      <w:marRight w:val="0"/>
      <w:marTop w:val="0"/>
      <w:marBottom w:val="0"/>
      <w:divBdr>
        <w:top w:val="none" w:sz="0" w:space="0" w:color="auto"/>
        <w:left w:val="none" w:sz="0" w:space="0" w:color="auto"/>
        <w:bottom w:val="none" w:sz="0" w:space="0" w:color="auto"/>
        <w:right w:val="none" w:sz="0" w:space="0" w:color="auto"/>
      </w:divBdr>
    </w:div>
    <w:div w:id="1232082160">
      <w:bodyDiv w:val="1"/>
      <w:marLeft w:val="0"/>
      <w:marRight w:val="0"/>
      <w:marTop w:val="0"/>
      <w:marBottom w:val="0"/>
      <w:divBdr>
        <w:top w:val="none" w:sz="0" w:space="0" w:color="auto"/>
        <w:left w:val="none" w:sz="0" w:space="0" w:color="auto"/>
        <w:bottom w:val="none" w:sz="0" w:space="0" w:color="auto"/>
        <w:right w:val="none" w:sz="0" w:space="0" w:color="auto"/>
      </w:divBdr>
    </w:div>
    <w:div w:id="1311448175">
      <w:bodyDiv w:val="1"/>
      <w:marLeft w:val="0"/>
      <w:marRight w:val="0"/>
      <w:marTop w:val="0"/>
      <w:marBottom w:val="0"/>
      <w:divBdr>
        <w:top w:val="none" w:sz="0" w:space="0" w:color="auto"/>
        <w:left w:val="none" w:sz="0" w:space="0" w:color="auto"/>
        <w:bottom w:val="none" w:sz="0" w:space="0" w:color="auto"/>
        <w:right w:val="none" w:sz="0" w:space="0" w:color="auto"/>
      </w:divBdr>
    </w:div>
    <w:div w:id="1312977662">
      <w:bodyDiv w:val="1"/>
      <w:marLeft w:val="0"/>
      <w:marRight w:val="0"/>
      <w:marTop w:val="0"/>
      <w:marBottom w:val="0"/>
      <w:divBdr>
        <w:top w:val="none" w:sz="0" w:space="0" w:color="auto"/>
        <w:left w:val="none" w:sz="0" w:space="0" w:color="auto"/>
        <w:bottom w:val="none" w:sz="0" w:space="0" w:color="auto"/>
        <w:right w:val="none" w:sz="0" w:space="0" w:color="auto"/>
      </w:divBdr>
    </w:div>
    <w:div w:id="1356080068">
      <w:bodyDiv w:val="1"/>
      <w:marLeft w:val="0"/>
      <w:marRight w:val="0"/>
      <w:marTop w:val="0"/>
      <w:marBottom w:val="0"/>
      <w:divBdr>
        <w:top w:val="none" w:sz="0" w:space="0" w:color="auto"/>
        <w:left w:val="none" w:sz="0" w:space="0" w:color="auto"/>
        <w:bottom w:val="none" w:sz="0" w:space="0" w:color="auto"/>
        <w:right w:val="none" w:sz="0" w:space="0" w:color="auto"/>
      </w:divBdr>
    </w:div>
    <w:div w:id="1365011324">
      <w:bodyDiv w:val="1"/>
      <w:marLeft w:val="0"/>
      <w:marRight w:val="0"/>
      <w:marTop w:val="0"/>
      <w:marBottom w:val="0"/>
      <w:divBdr>
        <w:top w:val="none" w:sz="0" w:space="0" w:color="auto"/>
        <w:left w:val="none" w:sz="0" w:space="0" w:color="auto"/>
        <w:bottom w:val="none" w:sz="0" w:space="0" w:color="auto"/>
        <w:right w:val="none" w:sz="0" w:space="0" w:color="auto"/>
      </w:divBdr>
    </w:div>
    <w:div w:id="1402293533">
      <w:bodyDiv w:val="1"/>
      <w:marLeft w:val="0"/>
      <w:marRight w:val="0"/>
      <w:marTop w:val="0"/>
      <w:marBottom w:val="0"/>
      <w:divBdr>
        <w:top w:val="none" w:sz="0" w:space="0" w:color="auto"/>
        <w:left w:val="none" w:sz="0" w:space="0" w:color="auto"/>
        <w:bottom w:val="none" w:sz="0" w:space="0" w:color="auto"/>
        <w:right w:val="none" w:sz="0" w:space="0" w:color="auto"/>
      </w:divBdr>
    </w:div>
    <w:div w:id="1484472269">
      <w:bodyDiv w:val="1"/>
      <w:marLeft w:val="0"/>
      <w:marRight w:val="0"/>
      <w:marTop w:val="0"/>
      <w:marBottom w:val="0"/>
      <w:divBdr>
        <w:top w:val="none" w:sz="0" w:space="0" w:color="auto"/>
        <w:left w:val="none" w:sz="0" w:space="0" w:color="auto"/>
        <w:bottom w:val="none" w:sz="0" w:space="0" w:color="auto"/>
        <w:right w:val="none" w:sz="0" w:space="0" w:color="auto"/>
      </w:divBdr>
    </w:div>
    <w:div w:id="1555191502">
      <w:bodyDiv w:val="1"/>
      <w:marLeft w:val="0"/>
      <w:marRight w:val="0"/>
      <w:marTop w:val="0"/>
      <w:marBottom w:val="0"/>
      <w:divBdr>
        <w:top w:val="none" w:sz="0" w:space="0" w:color="auto"/>
        <w:left w:val="none" w:sz="0" w:space="0" w:color="auto"/>
        <w:bottom w:val="none" w:sz="0" w:space="0" w:color="auto"/>
        <w:right w:val="none" w:sz="0" w:space="0" w:color="auto"/>
      </w:divBdr>
    </w:div>
    <w:div w:id="1567642470">
      <w:bodyDiv w:val="1"/>
      <w:marLeft w:val="0"/>
      <w:marRight w:val="0"/>
      <w:marTop w:val="0"/>
      <w:marBottom w:val="0"/>
      <w:divBdr>
        <w:top w:val="none" w:sz="0" w:space="0" w:color="auto"/>
        <w:left w:val="none" w:sz="0" w:space="0" w:color="auto"/>
        <w:bottom w:val="none" w:sz="0" w:space="0" w:color="auto"/>
        <w:right w:val="none" w:sz="0" w:space="0" w:color="auto"/>
      </w:divBdr>
    </w:div>
    <w:div w:id="1608152071">
      <w:bodyDiv w:val="1"/>
      <w:marLeft w:val="0"/>
      <w:marRight w:val="0"/>
      <w:marTop w:val="0"/>
      <w:marBottom w:val="0"/>
      <w:divBdr>
        <w:top w:val="none" w:sz="0" w:space="0" w:color="auto"/>
        <w:left w:val="none" w:sz="0" w:space="0" w:color="auto"/>
        <w:bottom w:val="none" w:sz="0" w:space="0" w:color="auto"/>
        <w:right w:val="none" w:sz="0" w:space="0" w:color="auto"/>
      </w:divBdr>
    </w:div>
    <w:div w:id="1631327201">
      <w:bodyDiv w:val="1"/>
      <w:marLeft w:val="0"/>
      <w:marRight w:val="0"/>
      <w:marTop w:val="0"/>
      <w:marBottom w:val="0"/>
      <w:divBdr>
        <w:top w:val="none" w:sz="0" w:space="0" w:color="auto"/>
        <w:left w:val="none" w:sz="0" w:space="0" w:color="auto"/>
        <w:bottom w:val="none" w:sz="0" w:space="0" w:color="auto"/>
        <w:right w:val="none" w:sz="0" w:space="0" w:color="auto"/>
      </w:divBdr>
    </w:div>
    <w:div w:id="1649165878">
      <w:bodyDiv w:val="1"/>
      <w:marLeft w:val="0"/>
      <w:marRight w:val="0"/>
      <w:marTop w:val="0"/>
      <w:marBottom w:val="0"/>
      <w:divBdr>
        <w:top w:val="none" w:sz="0" w:space="0" w:color="auto"/>
        <w:left w:val="none" w:sz="0" w:space="0" w:color="auto"/>
        <w:bottom w:val="none" w:sz="0" w:space="0" w:color="auto"/>
        <w:right w:val="none" w:sz="0" w:space="0" w:color="auto"/>
      </w:divBdr>
    </w:div>
    <w:div w:id="1683773905">
      <w:bodyDiv w:val="1"/>
      <w:marLeft w:val="0"/>
      <w:marRight w:val="0"/>
      <w:marTop w:val="0"/>
      <w:marBottom w:val="0"/>
      <w:divBdr>
        <w:top w:val="none" w:sz="0" w:space="0" w:color="auto"/>
        <w:left w:val="none" w:sz="0" w:space="0" w:color="auto"/>
        <w:bottom w:val="none" w:sz="0" w:space="0" w:color="auto"/>
        <w:right w:val="none" w:sz="0" w:space="0" w:color="auto"/>
      </w:divBdr>
    </w:div>
    <w:div w:id="1723287648">
      <w:bodyDiv w:val="1"/>
      <w:marLeft w:val="0"/>
      <w:marRight w:val="0"/>
      <w:marTop w:val="0"/>
      <w:marBottom w:val="0"/>
      <w:divBdr>
        <w:top w:val="none" w:sz="0" w:space="0" w:color="auto"/>
        <w:left w:val="none" w:sz="0" w:space="0" w:color="auto"/>
        <w:bottom w:val="none" w:sz="0" w:space="0" w:color="auto"/>
        <w:right w:val="none" w:sz="0" w:space="0" w:color="auto"/>
      </w:divBdr>
    </w:div>
    <w:div w:id="1772116957">
      <w:bodyDiv w:val="1"/>
      <w:marLeft w:val="0"/>
      <w:marRight w:val="0"/>
      <w:marTop w:val="0"/>
      <w:marBottom w:val="0"/>
      <w:divBdr>
        <w:top w:val="none" w:sz="0" w:space="0" w:color="auto"/>
        <w:left w:val="none" w:sz="0" w:space="0" w:color="auto"/>
        <w:bottom w:val="none" w:sz="0" w:space="0" w:color="auto"/>
        <w:right w:val="none" w:sz="0" w:space="0" w:color="auto"/>
      </w:divBdr>
    </w:div>
    <w:div w:id="1772583638">
      <w:bodyDiv w:val="1"/>
      <w:marLeft w:val="0"/>
      <w:marRight w:val="0"/>
      <w:marTop w:val="0"/>
      <w:marBottom w:val="0"/>
      <w:divBdr>
        <w:top w:val="none" w:sz="0" w:space="0" w:color="auto"/>
        <w:left w:val="none" w:sz="0" w:space="0" w:color="auto"/>
        <w:bottom w:val="none" w:sz="0" w:space="0" w:color="auto"/>
        <w:right w:val="none" w:sz="0" w:space="0" w:color="auto"/>
      </w:divBdr>
    </w:div>
    <w:div w:id="1795245473">
      <w:bodyDiv w:val="1"/>
      <w:marLeft w:val="0"/>
      <w:marRight w:val="0"/>
      <w:marTop w:val="0"/>
      <w:marBottom w:val="0"/>
      <w:divBdr>
        <w:top w:val="none" w:sz="0" w:space="0" w:color="auto"/>
        <w:left w:val="none" w:sz="0" w:space="0" w:color="auto"/>
        <w:bottom w:val="none" w:sz="0" w:space="0" w:color="auto"/>
        <w:right w:val="none" w:sz="0" w:space="0" w:color="auto"/>
      </w:divBdr>
    </w:div>
    <w:div w:id="1833638450">
      <w:bodyDiv w:val="1"/>
      <w:marLeft w:val="0"/>
      <w:marRight w:val="0"/>
      <w:marTop w:val="0"/>
      <w:marBottom w:val="0"/>
      <w:divBdr>
        <w:top w:val="none" w:sz="0" w:space="0" w:color="auto"/>
        <w:left w:val="none" w:sz="0" w:space="0" w:color="auto"/>
        <w:bottom w:val="none" w:sz="0" w:space="0" w:color="auto"/>
        <w:right w:val="none" w:sz="0" w:space="0" w:color="auto"/>
      </w:divBdr>
    </w:div>
    <w:div w:id="1880047630">
      <w:bodyDiv w:val="1"/>
      <w:marLeft w:val="0"/>
      <w:marRight w:val="0"/>
      <w:marTop w:val="0"/>
      <w:marBottom w:val="0"/>
      <w:divBdr>
        <w:top w:val="none" w:sz="0" w:space="0" w:color="auto"/>
        <w:left w:val="none" w:sz="0" w:space="0" w:color="auto"/>
        <w:bottom w:val="none" w:sz="0" w:space="0" w:color="auto"/>
        <w:right w:val="none" w:sz="0" w:space="0" w:color="auto"/>
      </w:divBdr>
    </w:div>
    <w:div w:id="1928997540">
      <w:bodyDiv w:val="1"/>
      <w:marLeft w:val="0"/>
      <w:marRight w:val="0"/>
      <w:marTop w:val="0"/>
      <w:marBottom w:val="0"/>
      <w:divBdr>
        <w:top w:val="none" w:sz="0" w:space="0" w:color="auto"/>
        <w:left w:val="none" w:sz="0" w:space="0" w:color="auto"/>
        <w:bottom w:val="none" w:sz="0" w:space="0" w:color="auto"/>
        <w:right w:val="none" w:sz="0" w:space="0" w:color="auto"/>
      </w:divBdr>
    </w:div>
    <w:div w:id="1940600558">
      <w:bodyDiv w:val="1"/>
      <w:marLeft w:val="0"/>
      <w:marRight w:val="0"/>
      <w:marTop w:val="0"/>
      <w:marBottom w:val="0"/>
      <w:divBdr>
        <w:top w:val="none" w:sz="0" w:space="0" w:color="auto"/>
        <w:left w:val="none" w:sz="0" w:space="0" w:color="auto"/>
        <w:bottom w:val="none" w:sz="0" w:space="0" w:color="auto"/>
        <w:right w:val="none" w:sz="0" w:space="0" w:color="auto"/>
      </w:divBdr>
    </w:div>
    <w:div w:id="2002157477">
      <w:bodyDiv w:val="1"/>
      <w:marLeft w:val="0"/>
      <w:marRight w:val="0"/>
      <w:marTop w:val="0"/>
      <w:marBottom w:val="0"/>
      <w:divBdr>
        <w:top w:val="none" w:sz="0" w:space="0" w:color="auto"/>
        <w:left w:val="none" w:sz="0" w:space="0" w:color="auto"/>
        <w:bottom w:val="none" w:sz="0" w:space="0" w:color="auto"/>
        <w:right w:val="none" w:sz="0" w:space="0" w:color="auto"/>
      </w:divBdr>
    </w:div>
    <w:div w:id="2018190510">
      <w:bodyDiv w:val="1"/>
      <w:marLeft w:val="0"/>
      <w:marRight w:val="0"/>
      <w:marTop w:val="0"/>
      <w:marBottom w:val="0"/>
      <w:divBdr>
        <w:top w:val="none" w:sz="0" w:space="0" w:color="auto"/>
        <w:left w:val="none" w:sz="0" w:space="0" w:color="auto"/>
        <w:bottom w:val="none" w:sz="0" w:space="0" w:color="auto"/>
        <w:right w:val="none" w:sz="0" w:space="0" w:color="auto"/>
      </w:divBdr>
    </w:div>
    <w:div w:id="2063822239">
      <w:bodyDiv w:val="1"/>
      <w:marLeft w:val="0"/>
      <w:marRight w:val="0"/>
      <w:marTop w:val="0"/>
      <w:marBottom w:val="0"/>
      <w:divBdr>
        <w:top w:val="none" w:sz="0" w:space="0" w:color="auto"/>
        <w:left w:val="none" w:sz="0" w:space="0" w:color="auto"/>
        <w:bottom w:val="none" w:sz="0" w:space="0" w:color="auto"/>
        <w:right w:val="none" w:sz="0" w:space="0" w:color="auto"/>
      </w:divBdr>
    </w:div>
    <w:div w:id="2087418208">
      <w:bodyDiv w:val="1"/>
      <w:marLeft w:val="0"/>
      <w:marRight w:val="0"/>
      <w:marTop w:val="0"/>
      <w:marBottom w:val="0"/>
      <w:divBdr>
        <w:top w:val="none" w:sz="0" w:space="0" w:color="auto"/>
        <w:left w:val="none" w:sz="0" w:space="0" w:color="auto"/>
        <w:bottom w:val="none" w:sz="0" w:space="0" w:color="auto"/>
        <w:right w:val="none" w:sz="0" w:space="0" w:color="auto"/>
      </w:divBdr>
    </w:div>
    <w:div w:id="2088571783">
      <w:bodyDiv w:val="1"/>
      <w:marLeft w:val="0"/>
      <w:marRight w:val="0"/>
      <w:marTop w:val="0"/>
      <w:marBottom w:val="0"/>
      <w:divBdr>
        <w:top w:val="none" w:sz="0" w:space="0" w:color="auto"/>
        <w:left w:val="none" w:sz="0" w:space="0" w:color="auto"/>
        <w:bottom w:val="none" w:sz="0" w:space="0" w:color="auto"/>
        <w:right w:val="none" w:sz="0" w:space="0" w:color="auto"/>
      </w:divBdr>
    </w:div>
    <w:div w:id="21004476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png"/><Relationship Id="rId18" Type="http://schemas.openxmlformats.org/officeDocument/2006/relationships/image" Target="media/image6.png"/><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image" Target="media/image5.png"/><Relationship Id="rId2" Type="http://schemas.openxmlformats.org/officeDocument/2006/relationships/customXml" Target="../customXml/item2.xml"/><Relationship Id="rId16" Type="http://schemas.openxmlformats.org/officeDocument/2006/relationships/image" Target="media/image4.png"/><Relationship Id="rId20" Type="http://schemas.openxmlformats.org/officeDocument/2006/relationships/image" Target="media/image8.png"/><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image" Target="media/image3.png"/><Relationship Id="rId23" Type="http://schemas.openxmlformats.org/officeDocument/2006/relationships/fontTable" Target="fontTable.xml"/><Relationship Id="rId10" Type="http://schemas.openxmlformats.org/officeDocument/2006/relationships/webSettings" Target="webSettings.xml"/><Relationship Id="rId19" Type="http://schemas.openxmlformats.org/officeDocument/2006/relationships/image" Target="media/image7.png"/><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png"/><Relationship Id="rId22"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s://nednr.nebraska.gov/pwapweb/"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9.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documentManagement>
    <_Source xmlns="http://schemas.microsoft.com/sharepoint/v3/fields" xsi:nil="true"/>
    <PRRIP_x0020_Document_x0020_Publication_x0020_Level xmlns="cf521744-3b04-41f0-a60c-531e85d79deb">Draft</PRRIP_x0020_Document_x0020_Publication_x0020_Level>
    <PRRIP_x0020_Can_x0020_Publicly_x0020_Share xmlns="cf521744-3b04-41f0-a60c-531e85d79deb">false</PRRIP_x0020_Can_x0020_Publicly_x0020_Share>
    <PRRIP_x0020_Target_x0020_Species xmlns="cf521744-3b04-41f0-a60c-531e85d79deb">Not Applicable</PRRIP_x0020_Target_x0020_Species>
    <PRRIPCommitteeAcronym xmlns="cf521744-3b04-41f0-a60c-531e85d79deb">EDO</PRRIPCommitteeAcronym>
    <Depletions_x0020_Plan_x0020_Signatory xmlns="cf521744-3b04-41f0-a60c-531e85d79deb" xsi:nil="true"/>
    <PRRIP_x0020_Document_x0020_Category xmlns="cf521744-3b04-41f0-a60c-531e85d79deb">Committee</PRRIP_x0020_Document_x0020_Category>
    <_Contributor xmlns="http://schemas.microsoft.com/sharepoint/v3/fields" xsi:nil="true"/>
    <PRRIP_x0020_Area_x0020_of_x0020_Focus xmlns="cf521744-3b04-41f0-a60c-531e85d79deb">Water</PRRIP_x0020_Area_x0020_of_x0020_Focus>
    <Publication_x0020_Date xmlns="cf521744-3b04-41f0-a60c-531e85d79deb">2013-01-02T06:00:00+00:00</Publication_x0020_Date>
    <Water_x0020_Category xmlns="cf521744-3b04-41f0-a60c-531e85d79deb">General</Water_x0020_Category>
    <PRRIP_x0020_Document_x0020_Type_x0020_Classification xmlns="cf521744-3b04-41f0-a60c-531e85d79deb">Other</PRRIP_x0020_Document_x0020_Type_x0020_Classification>
    <_Publisher xmlns="694edf55-823d-4bc7-a8d3-3ef5c79e931b" xsi:nil="true"/>
  </documentManagement>
</p:properties>
</file>

<file path=customXml/item2.xml><?xml version="1.0" encoding="utf-8"?>
<LongProperties xmlns="http://schemas.microsoft.com/office/2006/metadata/longProperties"/>
</file>

<file path=customXml/item3.xml><?xml version="1.0" encoding="utf-8"?>
<?mso-contentType ?>
<customXsn xmlns="http://schemas.microsoft.com/office/2006/metadata/customXsn">
  <xsnLocation/>
  <cached>True</cached>
  <openByDefault>True</openByDefault>
  <xsnScope/>
</customXsn>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ct:contentTypeSchema xmlns:ct="http://schemas.microsoft.com/office/2006/metadata/contentType" xmlns:ma="http://schemas.microsoft.com/office/2006/metadata/properties/metaAttributes" ct:_="" ma:_="" ma:contentTypeName="PRRIP Root Document Content Type" ma:contentTypeID="0x010100B2B6060726950549BF65FD5ABA6497AE00E4D57558CD132E4EA6BBBB9DBAA09CE6" ma:contentTypeVersion="20" ma:contentTypeDescription="Root content type to be used for generation of extended/refined content types for PRRIP and its committees." ma:contentTypeScope="" ma:versionID="5823b7d75e6a749bdd61904497bd994a">
  <xsd:schema xmlns:xsd="http://www.w3.org/2001/XMLSchema" xmlns:p="http://schemas.microsoft.com/office/2006/metadata/properties" xmlns:ns2="http://schemas.microsoft.com/sharepoint/v3/fields" xmlns:ns3="cf521744-3b04-41f0-a60c-531e85d79deb" xmlns:ns4="694edf55-823d-4bc7-a8d3-3ef5c79e931b" targetNamespace="http://schemas.microsoft.com/office/2006/metadata/properties" ma:root="true" ma:fieldsID="3c7d2c38241705a062accc352771300c" ns2:_="" ns3:_="" ns4:_="">
    <xsd:import namespace="http://schemas.microsoft.com/sharepoint/v3/fields"/>
    <xsd:import namespace="cf521744-3b04-41f0-a60c-531e85d79deb"/>
    <xsd:import namespace="694edf55-823d-4bc7-a8d3-3ef5c79e931b"/>
    <xsd:element name="properties">
      <xsd:complexType>
        <xsd:sequence>
          <xsd:element name="documentManagement">
            <xsd:complexType>
              <xsd:all>
                <xsd:element ref="ns2:_Contributor" minOccurs="0"/>
                <xsd:element ref="ns3:PRRIP_x0020_Document_x0020_Type_x0020_Classification"/>
                <xsd:element ref="ns3:PRRIP_x0020_Document_x0020_Publication_x0020_Level"/>
                <xsd:element ref="ns3:PRRIP_x0020_Document_x0020_Category"/>
                <xsd:element ref="ns3:PRRIP_x0020_Area_x0020_of_x0020_Focus"/>
                <xsd:element ref="ns3:PRRIP_x0020_Can_x0020_Publicly_x0020_Share" minOccurs="0"/>
                <xsd:element ref="ns3:PRRIP_x0020_Target_x0020_Species"/>
                <xsd:element ref="ns2:_Source" minOccurs="0"/>
                <xsd:element ref="ns4:_Publisher" minOccurs="0"/>
                <xsd:element ref="ns3:Publication_x0020_Date" minOccurs="0"/>
                <xsd:element ref="ns3:PRRIPCommitteeAcronym" minOccurs="0"/>
                <xsd:element ref="ns3:Water_x0020_Category" minOccurs="0"/>
                <xsd:element ref="ns3:Depletions_x0020_Plan_x0020_Signatory" minOccurs="0"/>
              </xsd:all>
            </xsd:complexType>
          </xsd:element>
        </xsd:sequence>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Contributor" ma:index="3" nillable="true" ma:displayName="Contributors" ma:description="One or more additional authors or contributors.  Field is limited to 255 characters." ma:internalName="_Contributor">
      <xsd:simpleType>
        <xsd:restriction base="dms:Note"/>
      </xsd:simpleType>
    </xsd:element>
    <xsd:element name="_Source" ma:index="10" nillable="true" ma:displayName="Source" ma:description="Document source journal or publication." ma:internalName="_Source">
      <xsd:simpleType>
        <xsd:restriction base="dms:Note"/>
      </xsd:simpleType>
    </xsd:element>
  </xsd:schema>
  <xsd:schema xmlns:xsd="http://www.w3.org/2001/XMLSchema" xmlns:dms="http://schemas.microsoft.com/office/2006/documentManagement/types" targetNamespace="cf521744-3b04-41f0-a60c-531e85d79deb" elementFormDefault="qualified">
    <xsd:import namespace="http://schemas.microsoft.com/office/2006/documentManagement/types"/>
    <xsd:element name="PRRIP_x0020_Document_x0020_Type_x0020_Classification" ma:index="4" ma:displayName="PRRIP Document Type Classification" ma:description="Indicates the PRRIP document type." ma:format="Dropdown" ma:internalName="PRRIP_x0020_Document_x0020_Type_x0020_Classification" ma:readOnly="false">
      <xsd:simpleType>
        <xsd:restriction base="dms:Choice">
          <xsd:enumeration value="Appendix"/>
          <xsd:enumeration value="FAQs"/>
          <xsd:enumeration value="Gathered Data"/>
          <xsd:enumeration value="Meeting Agenda"/>
          <xsd:enumeration value="Meeting Minutes"/>
          <xsd:enumeration value="Picture / Image / Logo"/>
          <xsd:enumeration value="Program Budget"/>
          <xsd:enumeration value="Protocol"/>
          <xsd:enumeration value="Request For Proposal/Quote"/>
          <xsd:enumeration value="Study"/>
          <xsd:enumeration value="Technical Report"/>
          <xsd:enumeration value="Work Plan"/>
          <xsd:enumeration value="Other"/>
        </xsd:restriction>
      </xsd:simpleType>
    </xsd:element>
    <xsd:element name="PRRIP_x0020_Document_x0020_Publication_x0020_Level" ma:index="5" ma:displayName="PRRIP Document Completeness Level" ma:description="Used to indicate the level of versioning regarding prep/publication." ma:format="Dropdown" ma:internalName="PRRIP_x0020_Document_x0020_Publication_x0020_Level">
      <xsd:simpleType>
        <xsd:restriction base="dms:Choice">
          <xsd:enumeration value="Personal Document"/>
          <xsd:enumeration value="Notes / Scratchpad"/>
          <xsd:enumeration value="Draft"/>
          <xsd:enumeration value="For Review / Feedback"/>
          <xsd:enumeration value="Proposed Final"/>
          <xsd:enumeration value="Final"/>
          <xsd:enumeration value="Published for Public"/>
          <xsd:enumeration value="Other"/>
        </xsd:restriction>
      </xsd:simpleType>
    </xsd:element>
    <xsd:element name="PRRIP_x0020_Document_x0020_Category" ma:index="6" ma:displayName="PRRIP Document Category" ma:description="Used to categorize the PRRIP document to a specific program purpose area." ma:format="Dropdown" ma:internalName="PRRIP_x0020_Document_x0020_Category">
      <xsd:simpleType>
        <xsd:restriction base="dms:Choice">
          <xsd:enumeration value="Administrative"/>
          <xsd:enumeration value="Committee"/>
          <xsd:enumeration value="Programmatic"/>
          <xsd:enumeration value="Technical"/>
          <xsd:enumeration value="Other"/>
        </xsd:restriction>
      </xsd:simpleType>
    </xsd:element>
    <xsd:element name="PRRIP_x0020_Area_x0020_of_x0020_Focus" ma:index="7" ma:displayName="PRRIP Area of Focus" ma:default="Other" ma:description="Used to categorize the document's Topical Focus" ma:format="Dropdown" ma:internalName="PRRIP_x0020_Area_x0020_of_x0020_Focus">
      <xsd:simpleType>
        <xsd:restriction base="dms:Choice">
          <xsd:enumeration value="Adaptive Management"/>
          <xsd:enumeration value="Geomorphology"/>
          <xsd:enumeration value="Habitat"/>
          <xsd:enumeration value="Land"/>
          <xsd:enumeration value="Target Species"/>
          <xsd:enumeration value="Non-Target Species"/>
          <xsd:enumeration value="Vegetation"/>
          <xsd:enumeration value="Water"/>
          <xsd:enumeration value="Other"/>
        </xsd:restriction>
      </xsd:simpleType>
    </xsd:element>
    <xsd:element name="PRRIP_x0020_Can_x0020_Publicly_x0020_Share" ma:index="8" nillable="true" ma:displayName="PRRIP Can Publicly Share" ma:default="0" ma:description="Indicates whether the item can or cannot be shared with the public." ma:hidden="true" ma:internalName="PRRIP_x0020_Can_x0020_Publicly_x0020_Share" ma:readOnly="false">
      <xsd:simpleType>
        <xsd:restriction base="dms:Boolean"/>
      </xsd:simpleType>
    </xsd:element>
    <xsd:element name="PRRIP_x0020_Target_x0020_Species" ma:index="9" ma:displayName="PRRIP Target Species" ma:description="Used to indicate the item's relevant program's target species." ma:format="Dropdown" ma:internalName="PRRIP_x0020_Target_x0020_Species" ma:readOnly="false">
      <xsd:simpleType>
        <xsd:restriction base="dms:Choice">
          <xsd:enumeration value="Interior Least Tern"/>
          <xsd:enumeration value="Interior Least Terns and Piping Plovers"/>
          <xsd:enumeration value="Pallid Sturgeon"/>
          <xsd:enumeration value="Piping Plover"/>
          <xsd:enumeration value="Whooping Crane"/>
          <xsd:enumeration value="Not Applicable"/>
        </xsd:restriction>
      </xsd:simpleType>
    </xsd:element>
    <xsd:element name="Publication_x0020_Date" ma:index="12" nillable="true" ma:displayName="Publication Date" ma:description="Date of publication for the document, article, magazine, etc." ma:format="DateOnly" ma:internalName="Publication_x0020_Date">
      <xsd:simpleType>
        <xsd:restriction base="dms:DateTime"/>
      </xsd:simpleType>
    </xsd:element>
    <xsd:element name="PRRIPCommitteeAcronym" ma:index="19" nillable="true" ma:displayName="PRRIP Committee Acronym" ma:description="Used to specify one of the PRRIP Committees." ma:format="Dropdown" ma:internalName="PRRIPCommitteeAcronym">
      <xsd:simpleType>
        <xsd:restriction base="dms:Choice">
          <xsd:enumeration value="EDO"/>
          <xsd:enumeration value="FC"/>
          <xsd:enumeration value="GC"/>
          <xsd:enumeration value="ISAC"/>
          <xsd:enumeration value="LAC"/>
          <xsd:enumeration value="TAC"/>
          <xsd:enumeration value="WAC"/>
          <xsd:enumeration value="Other"/>
          <xsd:enumeration value="All"/>
        </xsd:restriction>
      </xsd:simpleType>
    </xsd:element>
    <xsd:element name="Water_x0020_Category" ma:index="20" nillable="true" ma:displayName="Water Category" ma:format="Dropdown" ma:internalName="Water_x0020_Category">
      <xsd:simpleType>
        <xsd:restriction base="dms:Choice">
          <xsd:enumeration value="General"/>
          <xsd:enumeration value="WAP-CNPPID Rereg. Reservoir"/>
          <xsd:enumeration value="WAP-Elm Creek Rereg. Reservoir"/>
          <xsd:enumeration value="WAP-NE Groundwater Recharge"/>
          <xsd:enumeration value="WAP-Net Controllable Conserved Water"/>
          <xsd:enumeration value="WAP-Pathfinder Account"/>
          <xsd:enumeration value="WAP-Glendo Reservoir"/>
          <xsd:enumeration value="WAP-Tamarack III"/>
          <xsd:enumeration value="WAP-NE Water Leasing"/>
          <xsd:enumeration value="WAP-Water Management Incentives"/>
          <xsd:enumeration value="WAP-NE Groundwater Management"/>
          <xsd:enumeration value="WAP-Power Interference"/>
          <xsd:enumeration value="WAP-WY Water Leasing"/>
          <xsd:enumeration value="WAP-LaPrele Reservoir"/>
          <xsd:enumeration value="North Platte Chokepoint"/>
          <xsd:enumeration value="Short-Duration High Flow"/>
        </xsd:restriction>
      </xsd:simpleType>
    </xsd:element>
    <xsd:element name="Depletions_x0020_Plan_x0020_Signatory" ma:index="21" nillable="true" ma:displayName="Depletions Plan Signatory" ma:format="Dropdown" ma:internalName="Depletions_x0020_Plan_x0020_Signatory">
      <xsd:simpleType>
        <xsd:restriction base="dms:Choice">
          <xsd:enumeration value="Colorado"/>
          <xsd:enumeration value="Nebraska"/>
          <xsd:enumeration value="Wyoming"/>
          <xsd:enumeration value="Federal Government"/>
        </xsd:restriction>
      </xsd:simpleType>
    </xsd:element>
  </xsd:schema>
  <xsd:schema xmlns:xsd="http://www.w3.org/2001/XMLSchema" xmlns:dms="http://schemas.microsoft.com/office/2006/documentManagement/types" targetNamespace="694edf55-823d-4bc7-a8d3-3ef5c79e931b" elementFormDefault="qualified">
    <xsd:import namespace="http://schemas.microsoft.com/office/2006/documentManagement/types"/>
    <xsd:element name="_Publisher" ma:index="11" nillable="true" ma:displayName="Publisher" ma:description="The person, organization or service that published this resource" ma:format="Dropdown" ma:internalName="_Publisher">
      <xsd:simpleType>
        <xsd:union memberTypes="dms:Text">
          <xsd:simpleType>
            <xsd:restriction base="dms:Choice">
              <xsd:enumeration value="Platte River Recovery Implementation Program"/>
              <xsd:enumeration value="United States Army Corps of Engineers"/>
              <xsd:enumeration value="United States Fish &amp; Wildlife Service"/>
              <xsd:enumeration value="United States Geological Survey"/>
              <xsd:enumeration value="United States Bureau of Reclamation"/>
              <xsd:enumeration value="Other"/>
            </xsd:restriction>
          </xsd:simpleType>
        </xsd:un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2" ma:displayName="Author"/>
        <xsd:element ref="dcterms:created" minOccurs="0" maxOccurs="1"/>
        <xsd:element ref="dc:identifier" minOccurs="0" maxOccurs="1"/>
        <xsd:element name="contentType" minOccurs="0" maxOccurs="1" type="xsd:string" ma:index="18"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DAC0938-1878-4FD0-8C25-7D6B9D7BAA85}">
  <ds:schemaRefs>
    <ds:schemaRef ds:uri="http://schemas.microsoft.com/office/2006/metadata/properties"/>
    <ds:schemaRef ds:uri="http://schemas.microsoft.com/sharepoint/v3/fields"/>
    <ds:schemaRef ds:uri="cf521744-3b04-41f0-a60c-531e85d79deb"/>
    <ds:schemaRef ds:uri="694edf55-823d-4bc7-a8d3-3ef5c79e931b"/>
  </ds:schemaRefs>
</ds:datastoreItem>
</file>

<file path=customXml/itemProps2.xml><?xml version="1.0" encoding="utf-8"?>
<ds:datastoreItem xmlns:ds="http://schemas.openxmlformats.org/officeDocument/2006/customXml" ds:itemID="{58983B2E-38B4-4997-A0B9-6526E1E24C88}">
  <ds:schemaRefs>
    <ds:schemaRef ds:uri="http://schemas.microsoft.com/office/2006/metadata/longProperties"/>
  </ds:schemaRefs>
</ds:datastoreItem>
</file>

<file path=customXml/itemProps3.xml><?xml version="1.0" encoding="utf-8"?>
<ds:datastoreItem xmlns:ds="http://schemas.openxmlformats.org/officeDocument/2006/customXml" ds:itemID="{D53F3D3A-D33E-41EC-9F36-BB9A65AC403E}">
  <ds:schemaRefs>
    <ds:schemaRef ds:uri="http://schemas.microsoft.com/office/2006/metadata/customXsn"/>
  </ds:schemaRefs>
</ds:datastoreItem>
</file>

<file path=customXml/itemProps4.xml><?xml version="1.0" encoding="utf-8"?>
<ds:datastoreItem xmlns:ds="http://schemas.openxmlformats.org/officeDocument/2006/customXml" ds:itemID="{7FC0E7A8-DBDA-402E-B040-5771DAF001CE}">
  <ds:schemaRefs>
    <ds:schemaRef ds:uri="http://schemas.openxmlformats.org/officeDocument/2006/bibliography"/>
  </ds:schemaRefs>
</ds:datastoreItem>
</file>

<file path=customXml/itemProps5.xml><?xml version="1.0" encoding="utf-8"?>
<ds:datastoreItem xmlns:ds="http://schemas.openxmlformats.org/officeDocument/2006/customXml" ds:itemID="{48A6054A-6EF0-45CA-A85E-38386FB0339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fields"/>
    <ds:schemaRef ds:uri="cf521744-3b04-41f0-a60c-531e85d79deb"/>
    <ds:schemaRef ds:uri="694edf55-823d-4bc7-a8d3-3ef5c79e931b"/>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6.xml><?xml version="1.0" encoding="utf-8"?>
<ds:datastoreItem xmlns:ds="http://schemas.openxmlformats.org/officeDocument/2006/customXml" ds:itemID="{30C17B5D-375D-473F-B76B-43A9F58AC89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33</Pages>
  <Words>8951</Words>
  <Characters>51024</Characters>
  <Application>Microsoft Office Word</Application>
  <DocSecurity>0</DocSecurity>
  <Lines>425</Lines>
  <Paragraphs>119</Paragraphs>
  <ScaleCrop>false</ScaleCrop>
  <HeadingPairs>
    <vt:vector size="2" baseType="variant">
      <vt:variant>
        <vt:lpstr>Title</vt:lpstr>
      </vt:variant>
      <vt:variant>
        <vt:i4>1</vt:i4>
      </vt:variant>
    </vt:vector>
  </HeadingPairs>
  <TitlesOfParts>
    <vt:vector size="1" baseType="lpstr">
      <vt:lpstr>Memo</vt:lpstr>
    </vt:vector>
  </TitlesOfParts>
  <Company>Microsoft</Company>
  <LinksUpToDate>false</LinksUpToDate>
  <CharactersWithSpaces>59856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Memo</dc:title>
  <dc:subject/>
  <dc:creator>Seth Turner</dc:creator>
  <cp:keywords/>
  <cp:lastModifiedBy>Seth Turner</cp:lastModifiedBy>
  <cp:revision>8</cp:revision>
  <cp:lastPrinted>2012-01-04T16:37:00Z</cp:lastPrinted>
  <dcterms:created xsi:type="dcterms:W3CDTF">2021-10-22T19:58:00Z</dcterms:created>
  <dcterms:modified xsi:type="dcterms:W3CDTF">2021-10-22T20:04:00Z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PRRIP Root Document Content Type</vt:lpwstr>
  </property>
</Properties>
</file>